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/>
          <w:sz w:val="44"/>
          <w:szCs w:val="44"/>
        </w:rPr>
      </w:pPr>
    </w:p>
    <w:p>
      <w:pPr>
        <w:jc w:val="center"/>
        <w:rPr>
          <w:rFonts w:asciiTheme="minorEastAsia" w:hAnsiTheme="minorEastAsia"/>
          <w:sz w:val="44"/>
          <w:szCs w:val="44"/>
        </w:rPr>
      </w:pPr>
    </w:p>
    <w:p>
      <w:pPr>
        <w:rPr>
          <w:rFonts w:asciiTheme="minorEastAsia" w:hAnsiTheme="minorEastAsia"/>
          <w:sz w:val="44"/>
          <w:szCs w:val="44"/>
        </w:rPr>
      </w:pPr>
    </w:p>
    <w:p>
      <w:pPr>
        <w:pStyle w:val="20"/>
        <w:tabs>
          <w:tab w:val="left" w:pos="6379"/>
        </w:tabs>
        <w:spacing w:line="560" w:lineRule="exact"/>
        <w:ind w:firstLine="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云环（郁南）审〔202</w:t>
      </w:r>
      <w:r>
        <w:rPr>
          <w:rFonts w:hint="eastAsia" w:ascii="仿宋_GB2312" w:hAnsi="仿宋_GB2312" w:eastAsia="仿宋_GB2312"/>
          <w:sz w:val="32"/>
          <w:lang w:val="en-US" w:eastAsia="zh-CN"/>
        </w:rPr>
        <w:t>2</w:t>
      </w:r>
      <w:r>
        <w:rPr>
          <w:rFonts w:hint="eastAsia" w:ascii="仿宋_GB2312" w:hAnsi="仿宋_GB2312" w:eastAsia="仿宋_GB2312"/>
          <w:sz w:val="32"/>
        </w:rPr>
        <w:t>〕</w:t>
      </w:r>
      <w:r>
        <w:rPr>
          <w:rFonts w:hint="eastAsia" w:ascii="仿宋_GB2312" w:hAnsi="仿宋_GB2312" w:eastAsia="仿宋_GB2312"/>
          <w:sz w:val="32"/>
          <w:lang w:val="en-US" w:eastAsia="zh-CN"/>
        </w:rPr>
        <w:t>1</w:t>
      </w:r>
      <w:r>
        <w:rPr>
          <w:rFonts w:hint="eastAsia" w:ascii="仿宋_GB2312" w:hAnsi="仿宋_GB2312" w:eastAsia="仿宋_GB2312"/>
          <w:sz w:val="32"/>
        </w:rPr>
        <w:t>号</w:t>
      </w:r>
    </w:p>
    <w:p>
      <w:pPr>
        <w:rPr>
          <w:rFonts w:asciiTheme="minorEastAsia" w:hAnsiTheme="minorEastAsia"/>
          <w:sz w:val="44"/>
          <w:szCs w:val="44"/>
        </w:rPr>
      </w:pPr>
    </w:p>
    <w:p>
      <w:pPr>
        <w:pStyle w:val="20"/>
        <w:tabs>
          <w:tab w:val="left" w:pos="6379"/>
        </w:tabs>
        <w:spacing w:line="560" w:lineRule="exact"/>
        <w:ind w:firstLine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关于华辉玩具（郁南）有限公司移印、回型工序扩建项目环境影响报告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表</w:t>
      </w:r>
      <w:r>
        <w:rPr>
          <w:rFonts w:hint="eastAsia" w:ascii="方正小标宋简体" w:eastAsia="方正小标宋简体"/>
          <w:sz w:val="44"/>
          <w:szCs w:val="44"/>
        </w:rPr>
        <w:t>的批复</w:t>
      </w:r>
    </w:p>
    <w:p>
      <w:pPr>
        <w:pStyle w:val="20"/>
        <w:tabs>
          <w:tab w:val="left" w:pos="6379"/>
        </w:tabs>
        <w:spacing w:line="560" w:lineRule="exact"/>
        <w:ind w:firstLine="0"/>
        <w:jc w:val="center"/>
        <w:rPr>
          <w:rFonts w:asciiTheme="minorEastAsia" w:hAnsiTheme="minorEastAsia"/>
          <w:b/>
          <w:sz w:val="36"/>
          <w:szCs w:val="36"/>
        </w:rPr>
      </w:pPr>
    </w:p>
    <w:p>
      <w:pPr>
        <w:pStyle w:val="20"/>
        <w:tabs>
          <w:tab w:val="left" w:pos="6379"/>
        </w:tabs>
        <w:spacing w:line="560" w:lineRule="exact"/>
        <w:ind w:firstLine="0"/>
        <w:jc w:val="left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华辉玩具（郁南）有限公司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（统一社会信用代码：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91445300748033267R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仿宋_GB2312"/>
          <w:sz w:val="32"/>
          <w:szCs w:val="32"/>
        </w:rPr>
        <w:t>：</w:t>
      </w:r>
    </w:p>
    <w:p>
      <w:pPr>
        <w:pStyle w:val="20"/>
        <w:tabs>
          <w:tab w:val="left" w:pos="6379"/>
        </w:tabs>
        <w:spacing w:line="560" w:lineRule="exact"/>
        <w:ind w:firstLine="618" w:firstLineChars="200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你单位报送的《华辉玩具（郁南）有限公司移印、回型工序扩建项目环境影响报告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表</w:t>
      </w:r>
      <w:r>
        <w:rPr>
          <w:rFonts w:hint="eastAsia" w:ascii="仿宋_GB2312" w:hAnsi="宋体" w:eastAsia="仿宋_GB2312" w:cs="仿宋_GB2312"/>
          <w:sz w:val="32"/>
          <w:szCs w:val="32"/>
        </w:rPr>
        <w:t>》（以下简称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宋体" w:eastAsia="仿宋_GB2312" w:cs="仿宋_GB2312"/>
          <w:sz w:val="32"/>
          <w:szCs w:val="32"/>
        </w:rPr>
        <w:t>报告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表”</w:t>
      </w:r>
      <w:r>
        <w:rPr>
          <w:rFonts w:hint="eastAsia" w:ascii="仿宋_GB2312" w:hAnsi="宋体" w:eastAsia="仿宋_GB2312" w:cs="仿宋_GB2312"/>
          <w:sz w:val="32"/>
          <w:szCs w:val="32"/>
        </w:rPr>
        <w:t>）等相关材料收悉。经研究,批复如下:</w:t>
      </w:r>
    </w:p>
    <w:p>
      <w:pPr>
        <w:pStyle w:val="20"/>
        <w:numPr>
          <w:ilvl w:val="0"/>
          <w:numId w:val="1"/>
        </w:numPr>
        <w:tabs>
          <w:tab w:val="left" w:pos="6379"/>
        </w:tabs>
        <w:spacing w:line="560" w:lineRule="exact"/>
        <w:ind w:firstLine="618" w:firstLineChars="200"/>
        <w:rPr>
          <w:rFonts w:hint="eastAsia" w:ascii="仿宋_GB2312" w:hAnsi="宋体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华辉玩具（郁南）有限公司</w:t>
      </w:r>
      <w:r>
        <w:rPr>
          <w:rFonts w:hint="eastAsia" w:ascii="仿宋_GB2312" w:hAnsi="宋体" w:eastAsia="仿宋_GB2312" w:cs="仿宋_GB2312"/>
          <w:sz w:val="32"/>
          <w:szCs w:val="32"/>
        </w:rPr>
        <w:t>移印、回型工序扩建项目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（项目代码：2110-445322-04-02-741610）位于郁南县都城五龙工业开发区一区。本次扩建依托现有项目已建成的A厂B栋喷油车间和B厂A栋搪胶车间进行扩建移印工序和回型工序，产品产能、占地面积、建筑面积均不变。本次扩建主要内容为：①塑料玩具产品中搪胶部件生产工艺增加回型和移印工序；②移印及回型工序分别配套设置“二级活性炭吸附”，用于处理移印及回型工序产生的废气。本次改扩建项目总投资272万元，其中环保投资为75万元。</w:t>
      </w:r>
    </w:p>
    <w:p>
      <w:pPr>
        <w:pStyle w:val="20"/>
        <w:numPr>
          <w:ilvl w:val="0"/>
          <w:numId w:val="1"/>
        </w:numPr>
        <w:tabs>
          <w:tab w:val="left" w:pos="6379"/>
        </w:tabs>
        <w:spacing w:line="560" w:lineRule="exact"/>
        <w:ind w:firstLine="618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我局委托广东粤环生态环境有限公司对项目进行技术评估，并出具技术评估意见，评估认为，《报告表》环境保护目标明确，评价因子和评价标准选择合理，报告表对项目实施后可能造成的环境影响分析、预测、评估符合相关导则和技术规范要求，项目提出的预防或者减轻不良环境影响的对策和措施基本可行，环境影响评价结论基本可信。</w:t>
      </w:r>
      <w:r>
        <w:rPr>
          <w:rFonts w:hint="eastAsia" w:ascii="仿宋_GB2312" w:hAnsi="宋体" w:eastAsia="仿宋_GB2312" w:cs="仿宋_GB2312"/>
          <w:sz w:val="32"/>
          <w:szCs w:val="32"/>
        </w:rPr>
        <w:t>我局召开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建设</w:t>
      </w:r>
      <w:r>
        <w:rPr>
          <w:rFonts w:hint="eastAsia" w:ascii="仿宋_GB2312" w:hAnsi="宋体" w:eastAsia="仿宋_GB2312" w:cs="仿宋_GB2312"/>
          <w:sz w:val="32"/>
          <w:szCs w:val="32"/>
        </w:rPr>
        <w:t>项目环境影响评价审查会议审议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，原则</w:t>
      </w:r>
      <w:r>
        <w:rPr>
          <w:rFonts w:hint="eastAsia" w:ascii="仿宋_GB2312" w:hAnsi="宋体" w:eastAsia="仿宋_GB2312" w:cs="仿宋_GB2312"/>
          <w:sz w:val="32"/>
          <w:szCs w:val="32"/>
        </w:rPr>
        <w:t>通过了该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项目报批的《报告表》</w:t>
      </w:r>
      <w:r>
        <w:rPr>
          <w:rFonts w:hint="eastAsia" w:ascii="仿宋_GB2312" w:hAnsi="宋体" w:eastAsia="仿宋_GB2312" w:cs="仿宋_GB2312"/>
          <w:sz w:val="32"/>
          <w:szCs w:val="32"/>
        </w:rPr>
        <w:t>，你单位应按照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宋体" w:eastAsia="仿宋_GB2312" w:cs="仿宋_GB2312"/>
          <w:sz w:val="32"/>
          <w:szCs w:val="32"/>
        </w:rPr>
        <w:t>报告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表》</w:t>
      </w:r>
      <w:r>
        <w:rPr>
          <w:rFonts w:hint="eastAsia" w:ascii="仿宋_GB2312" w:hAnsi="宋体" w:eastAsia="仿宋_GB2312" w:cs="仿宋_GB2312"/>
          <w:sz w:val="32"/>
          <w:szCs w:val="32"/>
        </w:rPr>
        <w:t>内容组织实施。</w:t>
      </w:r>
    </w:p>
    <w:p>
      <w:pPr>
        <w:pStyle w:val="20"/>
        <w:numPr>
          <w:ilvl w:val="0"/>
          <w:numId w:val="1"/>
        </w:numPr>
        <w:tabs>
          <w:tab w:val="left" w:pos="6379"/>
        </w:tabs>
        <w:spacing w:line="560" w:lineRule="exact"/>
        <w:ind w:firstLine="618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项目建设和运营中还应重点做好以下工作：</w:t>
      </w:r>
    </w:p>
    <w:p>
      <w:pPr>
        <w:pStyle w:val="20"/>
        <w:keepNext w:val="0"/>
        <w:keepLines w:val="0"/>
        <w:pageBreakBefore w:val="0"/>
        <w:widowControl w:val="0"/>
        <w:numPr>
          <w:numId w:val="0"/>
        </w:numPr>
        <w:tabs>
          <w:tab w:val="left" w:pos="6379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18" w:firstLineChars="200"/>
        <w:textAlignment w:val="baseline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（一）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你单位</w:t>
      </w:r>
      <w:r>
        <w:rPr>
          <w:rFonts w:hint="eastAsia" w:ascii="仿宋_GB2312" w:hAnsi="宋体" w:eastAsia="仿宋_GB2312" w:cs="仿宋_GB2312"/>
          <w:sz w:val="32"/>
          <w:szCs w:val="32"/>
        </w:rPr>
        <w:t>须落实移印及回型工序有机废气收集治理措施，废气经处理达标后通过不低于15m的排气筒高空排放。外排废气总VOCs执行广东省地方标准《印刷行业挥发性有机化合物排放标准》(DB44/815-2010)表2“凸版印刷”Ⅱ时段标准限值要求及无组织排放监控浓度限值，恶臭执行《恶臭污染物排放标准》（GB14554-93）表2恶臭污染物排放标准值及表1恶臭污染物厂界标准值二级标准；外排废气中非甲烷总烃、苯乙烯执行《合成树脂工业污染物排放标准》（GB31572-2015）中表4大气污染物排放限值及表9企业边界大气污染物浓度限值。</w:t>
      </w:r>
    </w:p>
    <w:p>
      <w:pPr>
        <w:pStyle w:val="20"/>
        <w:keepNext w:val="0"/>
        <w:keepLines w:val="0"/>
        <w:pageBreakBefore w:val="0"/>
        <w:widowControl w:val="0"/>
        <w:numPr>
          <w:numId w:val="0"/>
        </w:numPr>
        <w:tabs>
          <w:tab w:val="left" w:pos="6379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18" w:firstLineChars="200"/>
        <w:textAlignment w:val="baseline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厂区内有机废气无组织排放浓度执行《挥发性有机物无组织排放控制标准》（GB37822-2019）中的附录A中的特别排放限值。</w:t>
      </w:r>
    </w:p>
    <w:p>
      <w:pPr>
        <w:pStyle w:val="20"/>
        <w:keepNext w:val="0"/>
        <w:keepLines w:val="0"/>
        <w:pageBreakBefore w:val="0"/>
        <w:widowControl w:val="0"/>
        <w:numPr>
          <w:numId w:val="0"/>
        </w:numPr>
        <w:tabs>
          <w:tab w:val="left" w:pos="6379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18" w:firstLineChars="200"/>
        <w:textAlignment w:val="baseline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（二）按照“清污分流、雨污分流”的原则优化设置给排水系统。本次扩建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该项目</w:t>
      </w:r>
      <w:r>
        <w:rPr>
          <w:rFonts w:hint="eastAsia" w:ascii="仿宋_GB2312" w:hAnsi="宋体" w:eastAsia="仿宋_GB2312" w:cs="仿宋_GB2312"/>
          <w:sz w:val="32"/>
          <w:szCs w:val="32"/>
        </w:rPr>
        <w:t>无新增用水，无新增外排废水产生。</w:t>
      </w:r>
    </w:p>
    <w:p>
      <w:pPr>
        <w:pStyle w:val="20"/>
        <w:keepNext w:val="0"/>
        <w:keepLines w:val="0"/>
        <w:pageBreakBefore w:val="0"/>
        <w:widowControl w:val="0"/>
        <w:numPr>
          <w:numId w:val="0"/>
        </w:numPr>
        <w:tabs>
          <w:tab w:val="left" w:pos="6379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18" w:firstLineChars="200"/>
        <w:textAlignment w:val="baseline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（三）优化厂区的布局，选用低噪设备并采取有效的减振、隔声措施，合理安排工作时间，确保东、南、西厂界噪声符合国家《工业企业厂界环境噪声排放标准》（GB12348-2008）3类标准，北厂界噪声符合国家《工业企业厂界环境噪声排放标准》（GB12348-2008）4类标准。</w:t>
      </w:r>
    </w:p>
    <w:p>
      <w:pPr>
        <w:pStyle w:val="20"/>
        <w:keepNext w:val="0"/>
        <w:keepLines w:val="0"/>
        <w:pageBreakBefore w:val="0"/>
        <w:widowControl w:val="0"/>
        <w:numPr>
          <w:numId w:val="0"/>
        </w:numPr>
        <w:tabs>
          <w:tab w:val="left" w:pos="6379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18" w:firstLineChars="200"/>
        <w:textAlignment w:val="baseline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（四）按照分类收集和综合利用的原则，落实固体废物的处理处置，防止造成二次污染。一般固废按《一般工业固体废物贮存和填埋污染控制标准》（GB18599-2020）执行，危险废物执行《国家危险废物名录》（2021版）分类收集暂存，按《危险废物贮存污染控制标准》（GB18597-2001）及其2013年修改单执行。</w:t>
      </w:r>
    </w:p>
    <w:p>
      <w:pPr>
        <w:pStyle w:val="20"/>
        <w:keepNext w:val="0"/>
        <w:keepLines w:val="0"/>
        <w:pageBreakBefore w:val="0"/>
        <w:widowControl w:val="0"/>
        <w:numPr>
          <w:numId w:val="0"/>
        </w:numPr>
        <w:tabs>
          <w:tab w:val="left" w:pos="6379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18" w:firstLineChars="200"/>
        <w:textAlignment w:val="baseline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（五）项目应按国家和省的有关规定规范设置各类排污口，并定期开展环境监测。</w:t>
      </w:r>
    </w:p>
    <w:p>
      <w:pPr>
        <w:pStyle w:val="20"/>
        <w:keepNext w:val="0"/>
        <w:keepLines w:val="0"/>
        <w:pageBreakBefore w:val="0"/>
        <w:widowControl w:val="0"/>
        <w:numPr>
          <w:numId w:val="0"/>
        </w:numPr>
        <w:tabs>
          <w:tab w:val="left" w:pos="6379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18" w:firstLineChars="200"/>
        <w:textAlignment w:val="baseline"/>
        <w:rPr>
          <w:rFonts w:hint="eastAsia" w:ascii="仿宋_GB2312" w:hAnsi="宋体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（六）如颁布了适用于本项目的污染物排放的新标准或要求，则按新标准或要求执行。</w:t>
      </w:r>
    </w:p>
    <w:p>
      <w:pPr>
        <w:pStyle w:val="20"/>
        <w:keepNext w:val="0"/>
        <w:keepLines w:val="0"/>
        <w:pageBreakBefore w:val="0"/>
        <w:widowControl w:val="0"/>
        <w:numPr>
          <w:numId w:val="0"/>
        </w:numPr>
        <w:tabs>
          <w:tab w:val="left" w:pos="6379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18" w:firstLineChars="200"/>
        <w:textAlignment w:val="baseline"/>
        <w:rPr>
          <w:rFonts w:hint="eastAsia" w:ascii="仿宋_GB2312" w:hAnsi="宋体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四、总量控制</w:t>
      </w:r>
    </w:p>
    <w:p>
      <w:pPr>
        <w:pStyle w:val="20"/>
        <w:keepNext w:val="0"/>
        <w:keepLines w:val="0"/>
        <w:pageBreakBefore w:val="0"/>
        <w:widowControl w:val="0"/>
        <w:numPr>
          <w:numId w:val="0"/>
        </w:numPr>
        <w:tabs>
          <w:tab w:val="left" w:pos="6379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18" w:firstLineChars="200"/>
        <w:textAlignment w:val="baseline"/>
        <w:rPr>
          <w:rFonts w:hint="eastAsia" w:ascii="仿宋_GB2312" w:hAnsi="宋体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经《报告表》核算，本次扩建项目增加大气污染物总量控制指标为：总VOCs排放量≤0.216t/a（其中有组织排放量≤0.171t/a）。</w:t>
      </w:r>
    </w:p>
    <w:p>
      <w:pPr>
        <w:pStyle w:val="20"/>
        <w:keepNext w:val="0"/>
        <w:keepLines w:val="0"/>
        <w:pageBreakBefore w:val="0"/>
        <w:widowControl w:val="0"/>
        <w:numPr>
          <w:numId w:val="0"/>
        </w:numPr>
        <w:tabs>
          <w:tab w:val="left" w:pos="6379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18" w:firstLineChars="200"/>
        <w:textAlignment w:val="baseline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五、</w:t>
      </w:r>
      <w:r>
        <w:rPr>
          <w:rFonts w:hint="eastAsia" w:ascii="仿宋_GB2312" w:hAnsi="宋体" w:eastAsia="仿宋_GB2312" w:cs="仿宋_GB2312"/>
          <w:sz w:val="32"/>
          <w:szCs w:val="32"/>
        </w:rPr>
        <w:t>该项目还应严格执行配套建设的环境保护设施与主体工程同时设计、同时施工、同时投产使用的环境保护“三同时”制度。项目建成后，你单位应当按照国务院生态环境行政主管部门规定的标准和程序，对配套建设的环境保护设施进行验收。建设项目环境保护“三同时”监督管理工作由云浮市生态环境局郁南分局</w:t>
      </w:r>
      <w:r>
        <w:rPr>
          <w:rFonts w:hint="eastAsia" w:ascii="仿宋" w:hAnsi="仿宋" w:eastAsia="仿宋"/>
          <w:sz w:val="32"/>
          <w:szCs w:val="32"/>
        </w:rPr>
        <w:t>环境监察股</w:t>
      </w:r>
      <w:r>
        <w:rPr>
          <w:rFonts w:hint="eastAsia" w:ascii="仿宋_GB2312" w:hAnsi="宋体" w:eastAsia="仿宋_GB2312" w:cs="仿宋_GB2312"/>
          <w:sz w:val="32"/>
          <w:szCs w:val="32"/>
        </w:rPr>
        <w:t>负责。</w:t>
      </w:r>
    </w:p>
    <w:p>
      <w:pPr>
        <w:spacing w:line="560" w:lineRule="exact"/>
        <w:ind w:right="640" w:firstLine="618" w:firstLineChars="20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/>
          <w:sz w:val="32"/>
          <w:szCs w:val="32"/>
        </w:rPr>
        <w:t>、其他未尽事宜，以有关法律、法规为准。</w:t>
      </w:r>
    </w:p>
    <w:p>
      <w:pPr>
        <w:pStyle w:val="20"/>
        <w:spacing w:line="560" w:lineRule="exact"/>
        <w:ind w:firstLine="0"/>
        <w:rPr>
          <w:rFonts w:ascii="仿宋_GB2312" w:hAnsi="宋体" w:eastAsia="仿宋_GB2312"/>
          <w:sz w:val="32"/>
          <w:szCs w:val="32"/>
        </w:rPr>
      </w:pPr>
      <w:bookmarkStart w:id="0" w:name="_GoBack"/>
      <w:bookmarkEnd w:id="0"/>
    </w:p>
    <w:p>
      <w:pPr>
        <w:pStyle w:val="20"/>
        <w:spacing w:line="560" w:lineRule="exact"/>
        <w:ind w:firstLine="0"/>
        <w:rPr>
          <w:rFonts w:ascii="仿宋_GB2312" w:hAnsi="宋体" w:eastAsia="仿宋_GB2312"/>
          <w:sz w:val="32"/>
          <w:szCs w:val="32"/>
        </w:rPr>
      </w:pPr>
    </w:p>
    <w:p>
      <w:pPr>
        <w:pStyle w:val="20"/>
        <w:spacing w:line="560" w:lineRule="exact"/>
        <w:ind w:firstLine="0"/>
        <w:rPr>
          <w:rFonts w:ascii="仿宋_GB2312" w:hAnsi="宋体" w:eastAsia="仿宋_GB2312"/>
          <w:sz w:val="32"/>
          <w:szCs w:val="32"/>
        </w:rPr>
      </w:pPr>
    </w:p>
    <w:p>
      <w:pPr>
        <w:pStyle w:val="20"/>
        <w:spacing w:line="560" w:lineRule="exact"/>
        <w:ind w:firstLine="0"/>
        <w:rPr>
          <w:rFonts w:ascii="仿宋_GB2312" w:hAnsi="宋体" w:eastAsia="仿宋_GB2312"/>
          <w:sz w:val="32"/>
          <w:szCs w:val="32"/>
        </w:rPr>
      </w:pPr>
    </w:p>
    <w:p>
      <w:pPr>
        <w:pStyle w:val="20"/>
        <w:spacing w:line="560" w:lineRule="exact"/>
        <w:ind w:firstLine="0"/>
        <w:rPr>
          <w:rFonts w:ascii="仿宋_GB2312" w:hAnsi="宋体" w:eastAsia="仿宋_GB2312"/>
          <w:sz w:val="32"/>
          <w:szCs w:val="32"/>
        </w:rPr>
      </w:pPr>
    </w:p>
    <w:p>
      <w:pPr>
        <w:pStyle w:val="20"/>
        <w:spacing w:line="560" w:lineRule="exact"/>
        <w:ind w:firstLine="0"/>
        <w:rPr>
          <w:rFonts w:ascii="仿宋_GB2312" w:hAnsi="宋体" w:eastAsia="仿宋_GB2312"/>
          <w:sz w:val="32"/>
          <w:szCs w:val="32"/>
        </w:rPr>
      </w:pPr>
    </w:p>
    <w:p>
      <w:pPr>
        <w:pStyle w:val="20"/>
        <w:spacing w:line="560" w:lineRule="exact"/>
        <w:ind w:firstLine="0"/>
        <w:rPr>
          <w:rFonts w:ascii="仿宋_GB2312" w:hAnsi="宋体" w:eastAsia="仿宋_GB2312"/>
          <w:sz w:val="32"/>
          <w:szCs w:val="32"/>
        </w:rPr>
      </w:pPr>
    </w:p>
    <w:p>
      <w:pPr>
        <w:pStyle w:val="20"/>
        <w:spacing w:line="560" w:lineRule="exact"/>
        <w:ind w:firstLine="0"/>
        <w:rPr>
          <w:rFonts w:ascii="仿宋_GB2312" w:hAnsi="宋体" w:eastAsia="仿宋_GB2312"/>
          <w:sz w:val="32"/>
          <w:szCs w:val="32"/>
        </w:rPr>
      </w:pPr>
    </w:p>
    <w:p>
      <w:pPr>
        <w:pStyle w:val="20"/>
        <w:spacing w:line="560" w:lineRule="exact"/>
        <w:ind w:firstLine="0"/>
        <w:rPr>
          <w:rFonts w:ascii="仿宋_GB2312" w:hAnsi="宋体" w:eastAsia="仿宋_GB2312"/>
          <w:sz w:val="32"/>
          <w:szCs w:val="32"/>
        </w:rPr>
      </w:pPr>
    </w:p>
    <w:p>
      <w:pPr>
        <w:pStyle w:val="20"/>
        <w:spacing w:line="560" w:lineRule="exact"/>
        <w:ind w:firstLine="0"/>
        <w:rPr>
          <w:rFonts w:ascii="仿宋_GB2312" w:hAnsi="宋体" w:eastAsia="仿宋_GB2312"/>
          <w:sz w:val="32"/>
          <w:szCs w:val="32"/>
        </w:rPr>
      </w:pPr>
    </w:p>
    <w:p>
      <w:pPr>
        <w:pStyle w:val="20"/>
        <w:spacing w:line="560" w:lineRule="exact"/>
        <w:ind w:firstLine="0"/>
        <w:rPr>
          <w:rFonts w:ascii="仿宋_GB2312" w:hAnsi="宋体" w:eastAsia="仿宋_GB2312"/>
          <w:sz w:val="32"/>
          <w:szCs w:val="32"/>
        </w:rPr>
      </w:pPr>
    </w:p>
    <w:p>
      <w:pPr>
        <w:pStyle w:val="20"/>
        <w:spacing w:line="560" w:lineRule="exact"/>
        <w:ind w:firstLine="0"/>
        <w:rPr>
          <w:rFonts w:ascii="仿宋_GB2312" w:hAnsi="宋体" w:eastAsia="仿宋_GB2312"/>
          <w:sz w:val="32"/>
          <w:szCs w:val="32"/>
        </w:rPr>
      </w:pPr>
    </w:p>
    <w:p>
      <w:pPr>
        <w:pStyle w:val="20"/>
        <w:spacing w:line="560" w:lineRule="exact"/>
        <w:ind w:firstLine="618" w:firstLineChars="200"/>
        <w:jc w:val="right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云浮市生态环境局</w:t>
      </w:r>
    </w:p>
    <w:p>
      <w:pPr>
        <w:wordWrap w:val="0"/>
        <w:ind w:firstLine="652"/>
        <w:jc w:val="right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ascii="仿宋_GB2312" w:hAnsi="宋体" w:eastAsia="仿宋_GB2312" w:cs="仿宋_GB2312"/>
          <w:sz w:val="32"/>
          <w:szCs w:val="32"/>
        </w:rPr>
        <w:t>20</w:t>
      </w:r>
      <w:r>
        <w:rPr>
          <w:rFonts w:hint="eastAsia" w:ascii="仿宋_GB2312" w:hAnsi="宋体" w:eastAsia="仿宋_GB2312" w:cs="仿宋_GB2312"/>
          <w:sz w:val="32"/>
          <w:szCs w:val="32"/>
        </w:rPr>
        <w:t>2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仿宋_GB2312"/>
          <w:sz w:val="32"/>
          <w:szCs w:val="32"/>
        </w:rPr>
        <w:t>年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仿宋_GB2312"/>
          <w:sz w:val="32"/>
          <w:szCs w:val="32"/>
        </w:rPr>
        <w:t>月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仿宋_GB2312"/>
          <w:sz w:val="32"/>
          <w:szCs w:val="32"/>
        </w:rPr>
        <w:t>日</w:t>
      </w:r>
    </w:p>
    <w:p>
      <w:pPr>
        <w:pStyle w:val="2"/>
        <w:wordWrap/>
      </w:pPr>
    </w:p>
    <w:p>
      <w:pPr>
        <w:spacing w:line="560" w:lineRule="exact"/>
        <w:rPr>
          <w:sz w:val="32"/>
          <w:szCs w:val="32"/>
        </w:rPr>
      </w:pPr>
      <w:r>
        <w:rPr>
          <w:rFonts w:hint="eastAsia"/>
          <w:b/>
          <w:sz w:val="32"/>
          <w:szCs w:val="32"/>
        </w:rPr>
        <w:t>公开方式：</w:t>
      </w:r>
      <w:r>
        <w:rPr>
          <w:rFonts w:hint="eastAsia"/>
          <w:sz w:val="32"/>
          <w:szCs w:val="32"/>
        </w:rPr>
        <w:t>主动公开</w:t>
      </w:r>
    </w:p>
    <w:tbl>
      <w:tblPr>
        <w:tblStyle w:val="9"/>
        <w:tblW w:w="92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288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spacing w:line="560" w:lineRule="exact"/>
              <w:ind w:left="940" w:leftChars="67" w:hanging="807" w:hangingChars="300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eastAsia="仿宋_GB2312"/>
                <w:sz w:val="28"/>
                <w:szCs w:val="28"/>
              </w:rPr>
              <w:t>抄送：</w:t>
            </w:r>
            <w:r>
              <w:rPr>
                <w:rFonts w:hint="eastAsia" w:eastAsia="仿宋_GB2312"/>
                <w:sz w:val="28"/>
                <w:szCs w:val="28"/>
              </w:rPr>
              <w:t>云浮市生态环境局郁南分局环境监察股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、广东粤环生态环境有限公司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288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spacing w:line="560" w:lineRule="exact"/>
              <w:ind w:left="940" w:leftChars="67" w:hanging="807" w:hangingChars="30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云浮市生态环境局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郁南分局</w:t>
            </w:r>
            <w:r>
              <w:rPr>
                <w:rFonts w:hint="eastAsia" w:eastAsia="仿宋_GB2312"/>
                <w:sz w:val="28"/>
                <w:szCs w:val="28"/>
              </w:rPr>
              <w:t xml:space="preserve">办公室       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2022年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 日印发</w:t>
            </w:r>
          </w:p>
        </w:tc>
      </w:tr>
    </w:tbl>
    <w:p>
      <w:pPr>
        <w:spacing w:line="560" w:lineRule="exact"/>
        <w:jc w:val="left"/>
        <w:rPr>
          <w:rFonts w:ascii="仿宋" w:hAnsi="仿宋" w:eastAsia="仿宋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588" w:bottom="1985" w:left="1588" w:header="851" w:footer="1588" w:gutter="0"/>
      <w:cols w:space="425" w:num="1"/>
      <w:docGrid w:type="linesAndChars" w:linePitch="579" w:charSpace="-23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27884503"/>
      <w:docPartObj>
        <w:docPartGallery w:val="autotext"/>
      </w:docPartObj>
    </w:sdtPr>
    <w:sdtEndPr>
      <w:rPr>
        <w:lang w:val="zh-CN"/>
      </w:rPr>
    </w:sdtEndPr>
    <w:sdtContent>
      <w:p>
        <w:pPr>
          <w:pStyle w:val="7"/>
          <w:jc w:val="right"/>
        </w:pPr>
        <w:r>
          <w:rPr>
            <w:rFonts w:hint="eastAsia" w:ascii="宋体" w:hAnsi="宋体" w:eastAsia="宋体"/>
            <w:sz w:val="28"/>
            <w:szCs w:val="28"/>
          </w:rPr>
          <w:t>—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 PAGE   \* MERGEFORMAT 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3</w:t>
        </w:r>
        <w:r>
          <w:rPr>
            <w:rFonts w:ascii="宋体" w:hAnsi="宋体" w:eastAsia="宋体"/>
            <w:sz w:val="28"/>
            <w:szCs w:val="28"/>
            <w:lang w:val="zh-CN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  <w:lang w:val="zh-CN"/>
          </w:rPr>
          <w:t>—</w:t>
        </w:r>
      </w:p>
    </w:sdtContent>
  </w:sdt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420"/>
      <w:rPr>
        <w:lang w:val="zh-CN"/>
      </w:rPr>
    </w:pPr>
    <w:r>
      <w:rPr>
        <w:rFonts w:hint="eastAsia" w:ascii="宋体" w:hAnsi="宋体" w:eastAsia="宋体"/>
        <w:sz w:val="28"/>
        <w:szCs w:val="28"/>
      </w:rPr>
      <w:t>—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</w:t>
    </w:r>
    <w:r>
      <w:rPr>
        <w:rFonts w:ascii="宋体" w:hAnsi="宋体" w:eastAsia="宋体"/>
        <w:sz w:val="28"/>
        <w:szCs w:val="28"/>
        <w:lang w:val="zh-CN"/>
      </w:rPr>
      <w:fldChar w:fldCharType="end"/>
    </w:r>
    <w:r>
      <w:rPr>
        <w:rFonts w:hint="eastAsia" w:ascii="宋体" w:hAnsi="宋体" w:eastAsia="宋体"/>
        <w:sz w:val="28"/>
        <w:szCs w:val="28"/>
        <w:lang w:val="zh-CN"/>
      </w:rPr>
      <w:t>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E67619"/>
    <w:multiLevelType w:val="singleLevel"/>
    <w:tmpl w:val="43E6761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99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8B2"/>
    <w:rsid w:val="0000337B"/>
    <w:rsid w:val="0000696D"/>
    <w:rsid w:val="0001071F"/>
    <w:rsid w:val="000168BD"/>
    <w:rsid w:val="00017675"/>
    <w:rsid w:val="00017B2A"/>
    <w:rsid w:val="0002168C"/>
    <w:rsid w:val="00055B0B"/>
    <w:rsid w:val="00060A28"/>
    <w:rsid w:val="00085B99"/>
    <w:rsid w:val="00087FB3"/>
    <w:rsid w:val="000D2499"/>
    <w:rsid w:val="000E50FB"/>
    <w:rsid w:val="000E7DC4"/>
    <w:rsid w:val="00100BD6"/>
    <w:rsid w:val="0010158A"/>
    <w:rsid w:val="00101A3F"/>
    <w:rsid w:val="001026CA"/>
    <w:rsid w:val="001151B5"/>
    <w:rsid w:val="00124159"/>
    <w:rsid w:val="00142605"/>
    <w:rsid w:val="001524E5"/>
    <w:rsid w:val="001659F1"/>
    <w:rsid w:val="00174D22"/>
    <w:rsid w:val="00175F06"/>
    <w:rsid w:val="0017704E"/>
    <w:rsid w:val="00182BD7"/>
    <w:rsid w:val="001831D2"/>
    <w:rsid w:val="00183696"/>
    <w:rsid w:val="00190E6E"/>
    <w:rsid w:val="0019512E"/>
    <w:rsid w:val="001A12AE"/>
    <w:rsid w:val="001C0EC5"/>
    <w:rsid w:val="001C3DEB"/>
    <w:rsid w:val="001D7EF0"/>
    <w:rsid w:val="001E08DC"/>
    <w:rsid w:val="001E5560"/>
    <w:rsid w:val="001E7934"/>
    <w:rsid w:val="001F3DED"/>
    <w:rsid w:val="00205800"/>
    <w:rsid w:val="00213E49"/>
    <w:rsid w:val="00215BFC"/>
    <w:rsid w:val="00224B19"/>
    <w:rsid w:val="00272C69"/>
    <w:rsid w:val="00276271"/>
    <w:rsid w:val="002814C9"/>
    <w:rsid w:val="00292CC5"/>
    <w:rsid w:val="002A23A0"/>
    <w:rsid w:val="002A3D10"/>
    <w:rsid w:val="002D227E"/>
    <w:rsid w:val="002E5B2F"/>
    <w:rsid w:val="002F195B"/>
    <w:rsid w:val="002F1D9C"/>
    <w:rsid w:val="002F35F3"/>
    <w:rsid w:val="002F5F92"/>
    <w:rsid w:val="0030016F"/>
    <w:rsid w:val="0034427E"/>
    <w:rsid w:val="00357A09"/>
    <w:rsid w:val="003701B7"/>
    <w:rsid w:val="00370A2F"/>
    <w:rsid w:val="003A6683"/>
    <w:rsid w:val="003B4C70"/>
    <w:rsid w:val="003C06EA"/>
    <w:rsid w:val="003C16EE"/>
    <w:rsid w:val="003D0771"/>
    <w:rsid w:val="003E59C9"/>
    <w:rsid w:val="003F111B"/>
    <w:rsid w:val="003F7AEF"/>
    <w:rsid w:val="003F7F9C"/>
    <w:rsid w:val="0041267F"/>
    <w:rsid w:val="00430473"/>
    <w:rsid w:val="004336C1"/>
    <w:rsid w:val="00435FE2"/>
    <w:rsid w:val="0045087E"/>
    <w:rsid w:val="0046537F"/>
    <w:rsid w:val="004657AE"/>
    <w:rsid w:val="004820A6"/>
    <w:rsid w:val="00486728"/>
    <w:rsid w:val="004B2333"/>
    <w:rsid w:val="004E0EB6"/>
    <w:rsid w:val="004E261E"/>
    <w:rsid w:val="004E5A28"/>
    <w:rsid w:val="004E63AA"/>
    <w:rsid w:val="004F7CF8"/>
    <w:rsid w:val="00500926"/>
    <w:rsid w:val="0052278E"/>
    <w:rsid w:val="00527AB5"/>
    <w:rsid w:val="00535B89"/>
    <w:rsid w:val="00542ED4"/>
    <w:rsid w:val="00543831"/>
    <w:rsid w:val="00550DEB"/>
    <w:rsid w:val="00572A61"/>
    <w:rsid w:val="0058695E"/>
    <w:rsid w:val="005B1A21"/>
    <w:rsid w:val="005B4AC4"/>
    <w:rsid w:val="005C7456"/>
    <w:rsid w:val="005E025A"/>
    <w:rsid w:val="005E22DB"/>
    <w:rsid w:val="005F6233"/>
    <w:rsid w:val="006166CD"/>
    <w:rsid w:val="00626C76"/>
    <w:rsid w:val="00632162"/>
    <w:rsid w:val="006427CC"/>
    <w:rsid w:val="00642DCE"/>
    <w:rsid w:val="00644626"/>
    <w:rsid w:val="00645190"/>
    <w:rsid w:val="00650902"/>
    <w:rsid w:val="00655A5E"/>
    <w:rsid w:val="0065604D"/>
    <w:rsid w:val="00661CAB"/>
    <w:rsid w:val="006727F0"/>
    <w:rsid w:val="00683C3A"/>
    <w:rsid w:val="0069244B"/>
    <w:rsid w:val="00695F25"/>
    <w:rsid w:val="006A6999"/>
    <w:rsid w:val="006B29E5"/>
    <w:rsid w:val="006B6218"/>
    <w:rsid w:val="006C6FB1"/>
    <w:rsid w:val="006D1D38"/>
    <w:rsid w:val="006D2877"/>
    <w:rsid w:val="006E3F38"/>
    <w:rsid w:val="006F17B1"/>
    <w:rsid w:val="007018B2"/>
    <w:rsid w:val="007066C7"/>
    <w:rsid w:val="00713217"/>
    <w:rsid w:val="00713BC3"/>
    <w:rsid w:val="007261CA"/>
    <w:rsid w:val="0073126F"/>
    <w:rsid w:val="007331A3"/>
    <w:rsid w:val="00743053"/>
    <w:rsid w:val="00746DE1"/>
    <w:rsid w:val="0076178E"/>
    <w:rsid w:val="00781CDC"/>
    <w:rsid w:val="00786A70"/>
    <w:rsid w:val="007B7E9F"/>
    <w:rsid w:val="007D4616"/>
    <w:rsid w:val="007D6CE7"/>
    <w:rsid w:val="007E45E4"/>
    <w:rsid w:val="007E5CA7"/>
    <w:rsid w:val="007F2632"/>
    <w:rsid w:val="007F378E"/>
    <w:rsid w:val="00802E5F"/>
    <w:rsid w:val="00810530"/>
    <w:rsid w:val="00837F2D"/>
    <w:rsid w:val="00841BF6"/>
    <w:rsid w:val="0084408A"/>
    <w:rsid w:val="00846FE5"/>
    <w:rsid w:val="008568E1"/>
    <w:rsid w:val="00867B49"/>
    <w:rsid w:val="0087326F"/>
    <w:rsid w:val="00887EA1"/>
    <w:rsid w:val="00896E6A"/>
    <w:rsid w:val="008A0926"/>
    <w:rsid w:val="008A0E15"/>
    <w:rsid w:val="008C23A2"/>
    <w:rsid w:val="008D7B2D"/>
    <w:rsid w:val="008F7E94"/>
    <w:rsid w:val="00901A6D"/>
    <w:rsid w:val="00916D83"/>
    <w:rsid w:val="009262BF"/>
    <w:rsid w:val="00947153"/>
    <w:rsid w:val="009534A2"/>
    <w:rsid w:val="00972245"/>
    <w:rsid w:val="009742FE"/>
    <w:rsid w:val="009746AB"/>
    <w:rsid w:val="0098013A"/>
    <w:rsid w:val="009821E2"/>
    <w:rsid w:val="00982FA8"/>
    <w:rsid w:val="00994B8F"/>
    <w:rsid w:val="00996597"/>
    <w:rsid w:val="009A24DF"/>
    <w:rsid w:val="009B2ADB"/>
    <w:rsid w:val="009B2F86"/>
    <w:rsid w:val="009B3902"/>
    <w:rsid w:val="009B4374"/>
    <w:rsid w:val="009B6917"/>
    <w:rsid w:val="009C4C84"/>
    <w:rsid w:val="009C5E12"/>
    <w:rsid w:val="009D56BE"/>
    <w:rsid w:val="009D7CFF"/>
    <w:rsid w:val="009D7FF2"/>
    <w:rsid w:val="009E49BB"/>
    <w:rsid w:val="00A15D48"/>
    <w:rsid w:val="00A33522"/>
    <w:rsid w:val="00A36FB5"/>
    <w:rsid w:val="00A43F2C"/>
    <w:rsid w:val="00A442A4"/>
    <w:rsid w:val="00A53CFF"/>
    <w:rsid w:val="00A739CC"/>
    <w:rsid w:val="00A81C24"/>
    <w:rsid w:val="00A83326"/>
    <w:rsid w:val="00A92073"/>
    <w:rsid w:val="00AB04FA"/>
    <w:rsid w:val="00AB1D61"/>
    <w:rsid w:val="00AB354F"/>
    <w:rsid w:val="00AB5933"/>
    <w:rsid w:val="00AC324D"/>
    <w:rsid w:val="00AC4190"/>
    <w:rsid w:val="00AD19BF"/>
    <w:rsid w:val="00AF0F88"/>
    <w:rsid w:val="00B04C94"/>
    <w:rsid w:val="00B05C00"/>
    <w:rsid w:val="00B23175"/>
    <w:rsid w:val="00B442CC"/>
    <w:rsid w:val="00B55D70"/>
    <w:rsid w:val="00B61E39"/>
    <w:rsid w:val="00B74259"/>
    <w:rsid w:val="00B77256"/>
    <w:rsid w:val="00B87148"/>
    <w:rsid w:val="00BB1F61"/>
    <w:rsid w:val="00BC3597"/>
    <w:rsid w:val="00C04C05"/>
    <w:rsid w:val="00C21661"/>
    <w:rsid w:val="00C22186"/>
    <w:rsid w:val="00C22670"/>
    <w:rsid w:val="00C228EB"/>
    <w:rsid w:val="00C30697"/>
    <w:rsid w:val="00C31C70"/>
    <w:rsid w:val="00C406C7"/>
    <w:rsid w:val="00C473CB"/>
    <w:rsid w:val="00C5479F"/>
    <w:rsid w:val="00C56E7F"/>
    <w:rsid w:val="00C61832"/>
    <w:rsid w:val="00C72CB8"/>
    <w:rsid w:val="00C87475"/>
    <w:rsid w:val="00C94475"/>
    <w:rsid w:val="00C95DC1"/>
    <w:rsid w:val="00CA3374"/>
    <w:rsid w:val="00CA4A02"/>
    <w:rsid w:val="00CA5768"/>
    <w:rsid w:val="00CB5B09"/>
    <w:rsid w:val="00CC377D"/>
    <w:rsid w:val="00CC5E43"/>
    <w:rsid w:val="00CE5F98"/>
    <w:rsid w:val="00CF4F2E"/>
    <w:rsid w:val="00D035BE"/>
    <w:rsid w:val="00D03F64"/>
    <w:rsid w:val="00D0748B"/>
    <w:rsid w:val="00D10BC6"/>
    <w:rsid w:val="00D20522"/>
    <w:rsid w:val="00D24F59"/>
    <w:rsid w:val="00D456CB"/>
    <w:rsid w:val="00D5113E"/>
    <w:rsid w:val="00D570E5"/>
    <w:rsid w:val="00D62FB9"/>
    <w:rsid w:val="00D64321"/>
    <w:rsid w:val="00D763A6"/>
    <w:rsid w:val="00D81BA9"/>
    <w:rsid w:val="00D844DE"/>
    <w:rsid w:val="00D852BF"/>
    <w:rsid w:val="00DC17C7"/>
    <w:rsid w:val="00DC40F4"/>
    <w:rsid w:val="00DD1B6E"/>
    <w:rsid w:val="00DD3D0A"/>
    <w:rsid w:val="00DD4152"/>
    <w:rsid w:val="00DD5CD2"/>
    <w:rsid w:val="00E05EB2"/>
    <w:rsid w:val="00E14600"/>
    <w:rsid w:val="00E16F27"/>
    <w:rsid w:val="00E31768"/>
    <w:rsid w:val="00E544B6"/>
    <w:rsid w:val="00E55542"/>
    <w:rsid w:val="00E57768"/>
    <w:rsid w:val="00E57B95"/>
    <w:rsid w:val="00E6218D"/>
    <w:rsid w:val="00E6250B"/>
    <w:rsid w:val="00E63897"/>
    <w:rsid w:val="00E72049"/>
    <w:rsid w:val="00E76311"/>
    <w:rsid w:val="00E85229"/>
    <w:rsid w:val="00E86023"/>
    <w:rsid w:val="00E900F1"/>
    <w:rsid w:val="00E9214F"/>
    <w:rsid w:val="00F04DE7"/>
    <w:rsid w:val="00F20573"/>
    <w:rsid w:val="00F24981"/>
    <w:rsid w:val="00F3196E"/>
    <w:rsid w:val="00F45C3B"/>
    <w:rsid w:val="00F471E9"/>
    <w:rsid w:val="00F5351C"/>
    <w:rsid w:val="00F6009A"/>
    <w:rsid w:val="00F635FD"/>
    <w:rsid w:val="00F73834"/>
    <w:rsid w:val="00F86A61"/>
    <w:rsid w:val="00F948B6"/>
    <w:rsid w:val="00FA26D0"/>
    <w:rsid w:val="00FB1999"/>
    <w:rsid w:val="00FB2A77"/>
    <w:rsid w:val="00FB3423"/>
    <w:rsid w:val="00FB4D22"/>
    <w:rsid w:val="00FC34ED"/>
    <w:rsid w:val="00FC3571"/>
    <w:rsid w:val="00FC54D0"/>
    <w:rsid w:val="00FD2FB5"/>
    <w:rsid w:val="00FD67D9"/>
    <w:rsid w:val="00FE33BB"/>
    <w:rsid w:val="00FE7807"/>
    <w:rsid w:val="00FF1E29"/>
    <w:rsid w:val="08FC797C"/>
    <w:rsid w:val="0DD93A8D"/>
    <w:rsid w:val="115B6D04"/>
    <w:rsid w:val="1BB12C0A"/>
    <w:rsid w:val="3B0F1D00"/>
    <w:rsid w:val="3E452E82"/>
    <w:rsid w:val="42384272"/>
    <w:rsid w:val="43C95E83"/>
    <w:rsid w:val="462F5496"/>
    <w:rsid w:val="46420E9F"/>
    <w:rsid w:val="4E900F23"/>
    <w:rsid w:val="4F242BD6"/>
    <w:rsid w:val="521B56E4"/>
    <w:rsid w:val="64CB5CC0"/>
    <w:rsid w:val="656859A9"/>
    <w:rsid w:val="67342184"/>
    <w:rsid w:val="6C045A1E"/>
    <w:rsid w:val="6D612186"/>
    <w:rsid w:val="738C4607"/>
    <w:rsid w:val="749B427A"/>
    <w:rsid w:val="7BAE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qFormat="1" w:unhideWhenUsed="0" w:uiPriority="0" w:semiHidden="0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widowControl w:val="0"/>
      <w:spacing w:line="360" w:lineRule="auto"/>
      <w:jc w:val="both"/>
      <w:outlineLvl w:val="0"/>
    </w:pPr>
    <w:rPr>
      <w:rFonts w:ascii="宋体"/>
      <w:b/>
      <w:kern w:val="2"/>
      <w:sz w:val="24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semiHidden/>
    <w:qFormat/>
    <w:uiPriority w:val="0"/>
    <w:rPr>
      <w:rFonts w:ascii="宋体" w:hAnsi="Courier New"/>
    </w:rPr>
  </w:style>
  <w:style w:type="paragraph" w:styleId="4">
    <w:name w:val="List 3"/>
    <w:basedOn w:val="1"/>
    <w:next w:val="1"/>
    <w:qFormat/>
    <w:uiPriority w:val="0"/>
    <w:pPr>
      <w:ind w:left="100" w:leftChars="400" w:hanging="200" w:hangingChars="200"/>
    </w:pPr>
  </w:style>
  <w:style w:type="paragraph" w:styleId="5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1">
    <w:name w:val="Default"/>
    <w:basedOn w:val="12"/>
    <w:next w:val="4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12">
    <w:name w:val="纯文本1"/>
    <w:basedOn w:val="1"/>
    <w:qFormat/>
    <w:uiPriority w:val="0"/>
    <w:pPr>
      <w:adjustRightInd w:val="0"/>
    </w:pPr>
    <w:rPr>
      <w:rFonts w:hAnsi="Courier New"/>
      <w:szCs w:val="20"/>
    </w:rPr>
  </w:style>
  <w:style w:type="character" w:customStyle="1" w:styleId="13">
    <w:name w:val="页眉 Char"/>
    <w:basedOn w:val="10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0"/>
    <w:link w:val="6"/>
    <w:semiHidden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日期 Char"/>
    <w:basedOn w:val="10"/>
    <w:link w:val="5"/>
    <w:semiHidden/>
    <w:qFormat/>
    <w:uiPriority w:val="99"/>
  </w:style>
  <w:style w:type="paragraph" w:customStyle="1" w:styleId="18">
    <w:name w:val="Char Char Char Char Char Char Char Char Char Char Char Char1 Char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Cs w:val="24"/>
    </w:rPr>
  </w:style>
  <w:style w:type="character" w:customStyle="1" w:styleId="19">
    <w:name w:val="报告表  段 Char Char"/>
    <w:link w:val="20"/>
    <w:qFormat/>
    <w:uiPriority w:val="0"/>
    <w:rPr>
      <w:rFonts w:ascii="宋体"/>
      <w:sz w:val="24"/>
    </w:rPr>
  </w:style>
  <w:style w:type="paragraph" w:customStyle="1" w:styleId="20">
    <w:name w:val="报告表  段"/>
    <w:basedOn w:val="1"/>
    <w:link w:val="19"/>
    <w:qFormat/>
    <w:uiPriority w:val="0"/>
    <w:pPr>
      <w:adjustRightInd w:val="0"/>
      <w:spacing w:line="360" w:lineRule="auto"/>
      <w:ind w:firstLine="505"/>
      <w:textAlignment w:val="baseline"/>
    </w:pPr>
    <w:rPr>
      <w:rFonts w:ascii="宋体"/>
      <w:sz w:val="24"/>
    </w:rPr>
  </w:style>
  <w:style w:type="paragraph" w:customStyle="1" w:styleId="21">
    <w:name w:val="Char Char Char Char Char Char Char Char Char Char Char Char1 Char1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Cs w:val="24"/>
    </w:rPr>
  </w:style>
  <w:style w:type="character" w:customStyle="1" w:styleId="22">
    <w:name w:val="yqlink"/>
    <w:basedOn w:val="10"/>
    <w:qFormat/>
    <w:uiPriority w:val="0"/>
  </w:style>
  <w:style w:type="character" w:customStyle="1" w:styleId="23">
    <w:name w:val="@ 正文 Char"/>
    <w:link w:val="24"/>
    <w:qFormat/>
    <w:uiPriority w:val="0"/>
    <w:rPr>
      <w:rFonts w:ascii="Times New Roman" w:hAnsi="宋体"/>
      <w:sz w:val="24"/>
      <w:szCs w:val="21"/>
    </w:rPr>
  </w:style>
  <w:style w:type="paragraph" w:customStyle="1" w:styleId="24">
    <w:name w:val="@ 正文"/>
    <w:basedOn w:val="1"/>
    <w:link w:val="23"/>
    <w:qFormat/>
    <w:uiPriority w:val="0"/>
    <w:pPr>
      <w:tabs>
        <w:tab w:val="left" w:pos="1980"/>
        <w:tab w:val="left" w:pos="3825"/>
        <w:tab w:val="left" w:pos="4680"/>
      </w:tabs>
      <w:spacing w:line="480" w:lineRule="exact"/>
      <w:ind w:firstLine="200" w:firstLineChars="200"/>
    </w:pPr>
    <w:rPr>
      <w:rFonts w:ascii="Times New Roman" w:hAnsi="宋体"/>
      <w:sz w:val="24"/>
      <w:szCs w:val="21"/>
    </w:rPr>
  </w:style>
  <w:style w:type="paragraph" w:customStyle="1" w:styleId="25">
    <w:name w:val="Char1 Char Char Char Char Char1 Char"/>
    <w:basedOn w:val="1"/>
    <w:qFormat/>
    <w:uiPriority w:val="0"/>
    <w:pPr>
      <w:widowControl/>
      <w:ind w:firstLine="200" w:firstLineChars="200"/>
      <w:jc w:val="left"/>
    </w:pPr>
    <w:rPr>
      <w:rFonts w:ascii="宋体" w:hAnsi="宋体" w:eastAsia="宋体" w:cs="宋体"/>
      <w:kern w:val="0"/>
      <w:szCs w:val="24"/>
    </w:rPr>
  </w:style>
  <w:style w:type="paragraph" w:customStyle="1" w:styleId="26">
    <w:name w:val="Char1 Char Char Char Char Char1 Char1"/>
    <w:basedOn w:val="1"/>
    <w:qFormat/>
    <w:uiPriority w:val="0"/>
    <w:pPr>
      <w:widowControl/>
      <w:ind w:firstLine="200" w:firstLineChars="200"/>
      <w:jc w:val="left"/>
    </w:pPr>
    <w:rPr>
      <w:rFonts w:ascii="宋体" w:hAnsi="宋体" w:eastAsia="宋体" w:cs="宋体"/>
      <w:kern w:val="0"/>
      <w:szCs w:val="24"/>
    </w:rPr>
  </w:style>
  <w:style w:type="paragraph" w:customStyle="1" w:styleId="27">
    <w:name w:val="Char Char Char Char Char Char Char Char Char Char Char Char1 Char2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Cs w:val="24"/>
    </w:rPr>
  </w:style>
  <w:style w:type="character" w:customStyle="1" w:styleId="28">
    <w:name w:val="fontstyle01"/>
    <w:basedOn w:val="10"/>
    <w:qFormat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29">
    <w:name w:val="fontstyle2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</w:rPr>
  </w:style>
  <w:style w:type="paragraph" w:customStyle="1" w:styleId="30">
    <w:name w:val="Char Char Char Char Char Char Char Char Char Char Char Char1 Char3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Cs w:val="24"/>
    </w:rPr>
  </w:style>
  <w:style w:type="character" w:customStyle="1" w:styleId="31">
    <w:name w:val="fontstyle11"/>
    <w:basedOn w:val="10"/>
    <w:qFormat/>
    <w:uiPriority w:val="0"/>
    <w:rPr>
      <w:rFonts w:ascii="TimesNewRomanPSMT" w:hAnsi="TimesNewRomanPSMT" w:eastAsia="TimesNewRomanPSMT" w:cs="TimesNewRomanPSMT"/>
      <w:color w:val="000000"/>
      <w:sz w:val="24"/>
      <w:szCs w:val="24"/>
    </w:rPr>
  </w:style>
  <w:style w:type="character" w:customStyle="1" w:styleId="32">
    <w:name w:val="样式 楷体_GB2312 黑色"/>
    <w:basedOn w:val="10"/>
    <w:qFormat/>
    <w:uiPriority w:val="0"/>
    <w:rPr>
      <w:rFonts w:hint="eastAsia" w:ascii="楷体_GB2312" w:hAnsi="宋体" w:eastAsia="楷体_GB2312"/>
      <w:b/>
      <w:color w:val="000000"/>
      <w:sz w:val="24"/>
      <w:lang w:val="en-US" w:eastAsia="zh-CN"/>
    </w:rPr>
  </w:style>
  <w:style w:type="paragraph" w:customStyle="1" w:styleId="33">
    <w:name w:val="_Style 182"/>
    <w:basedOn w:val="1"/>
    <w:qFormat/>
    <w:uiPriority w:val="0"/>
    <w:pPr>
      <w:keepNext/>
      <w:widowControl/>
      <w:tabs>
        <w:tab w:val="left" w:pos="425"/>
      </w:tabs>
      <w:autoSpaceDE w:val="0"/>
      <w:autoSpaceDN w:val="0"/>
      <w:adjustRightInd w:val="0"/>
      <w:spacing w:before="80" w:after="80"/>
      <w:ind w:hanging="425"/>
    </w:pPr>
    <w:rPr>
      <w:rFonts w:ascii="Arial" w:hAnsi="Arial" w:cs="Arial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186</Words>
  <Characters>1062</Characters>
  <Lines>8</Lines>
  <Paragraphs>2</Paragraphs>
  <TotalTime>113</TotalTime>
  <ScaleCrop>false</ScaleCrop>
  <LinksUpToDate>false</LinksUpToDate>
  <CharactersWithSpaces>1246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2020-11-26T03:19:00Z</dcterms:created>
  <dc:creator>张艳</dc:creator>
  <cp:lastModifiedBy> 心源</cp:lastModifiedBy>
  <cp:lastPrinted>2022-01-27T03:03:38Z</cp:lastPrinted>
  <dcterms:modified xsi:type="dcterms:W3CDTF">2022-01-27T03:33:49Z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D647C24931234C9C8352A3D0E9A36982</vt:lpwstr>
  </property>
</Properties>
</file>