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Theme="minorEastAsia" w:hAnsiTheme="minorEastAsia" w:eastAsiaTheme="minorEastAsia"/>
          <w:sz w:val="44"/>
          <w:szCs w:val="44"/>
          <w:lang w:eastAsia="zh-CN"/>
        </w:rPr>
      </w:pPr>
    </w:p>
    <w:p>
      <w:pPr>
        <w:tabs>
          <w:tab w:val="left" w:pos="7530"/>
        </w:tabs>
        <w:jc w:val="left"/>
        <w:rPr>
          <w:rFonts w:hint="eastAsia" w:asciiTheme="minorEastAsia" w:hAnsiTheme="minorEastAsia" w:eastAsiaTheme="minorEastAsia"/>
          <w:sz w:val="44"/>
          <w:szCs w:val="44"/>
          <w:lang w:eastAsia="zh-CN"/>
        </w:rPr>
      </w:pPr>
      <w:r>
        <w:rPr>
          <w:rFonts w:hint="eastAsia" w:asciiTheme="minorEastAsia" w:hAnsiTheme="minorEastAsia"/>
          <w:sz w:val="44"/>
          <w:szCs w:val="44"/>
          <w:lang w:eastAsia="zh-CN"/>
        </w:rPr>
        <w:tab/>
      </w:r>
    </w:p>
    <w:p>
      <w:pPr>
        <w:rPr>
          <w:rFonts w:asciiTheme="minorEastAsia" w:hAnsiTheme="minorEastAsia"/>
          <w:sz w:val="44"/>
          <w:szCs w:val="44"/>
        </w:rPr>
      </w:pPr>
    </w:p>
    <w:p>
      <w:pPr>
        <w:pStyle w:val="47"/>
        <w:tabs>
          <w:tab w:val="left" w:pos="6379"/>
        </w:tabs>
        <w:spacing w:line="560" w:lineRule="exact"/>
        <w:ind w:firstLine="0"/>
        <w:jc w:val="right"/>
        <w:rPr>
          <w:rFonts w:ascii="仿宋" w:hAnsi="仿宋" w:eastAsia="仿宋"/>
          <w:sz w:val="32"/>
          <w:szCs w:val="32"/>
        </w:rPr>
      </w:pPr>
      <w:r>
        <w:rPr>
          <w:rFonts w:hint="eastAsia" w:ascii="仿宋_GB2312" w:hAnsi="仿宋_GB2312" w:eastAsia="仿宋_GB2312"/>
          <w:sz w:val="32"/>
        </w:rPr>
        <w:t>云环（郁南）审〔202</w:t>
      </w:r>
      <w:r>
        <w:rPr>
          <w:rFonts w:hint="eastAsia" w:ascii="仿宋_GB2312" w:hAnsi="仿宋_GB2312" w:eastAsia="仿宋_GB2312"/>
          <w:sz w:val="32"/>
          <w:lang w:val="en-US" w:eastAsia="zh-CN"/>
        </w:rPr>
        <w:t>3</w:t>
      </w:r>
      <w:r>
        <w:rPr>
          <w:rFonts w:hint="eastAsia" w:ascii="仿宋_GB2312" w:hAnsi="仿宋_GB2312" w:eastAsia="仿宋_GB2312"/>
          <w:sz w:val="32"/>
        </w:rPr>
        <w:t>〕</w:t>
      </w:r>
      <w:r>
        <w:rPr>
          <w:rFonts w:hint="eastAsia" w:ascii="仿宋_GB2312" w:hAnsi="仿宋_GB2312" w:eastAsia="仿宋_GB2312"/>
          <w:sz w:val="32"/>
          <w:lang w:val="en-US" w:eastAsia="zh-CN"/>
        </w:rPr>
        <w:t>09</w:t>
      </w:r>
      <w:r>
        <w:rPr>
          <w:rFonts w:hint="eastAsia" w:ascii="仿宋_GB2312" w:hAnsi="仿宋_GB2312" w:eastAsia="仿宋_GB2312"/>
          <w:sz w:val="32"/>
        </w:rPr>
        <w:t>号</w:t>
      </w:r>
    </w:p>
    <w:p>
      <w:pPr>
        <w:rPr>
          <w:rFonts w:asciiTheme="minorEastAsia" w:hAnsiTheme="minorEastAsia"/>
          <w:sz w:val="44"/>
          <w:szCs w:val="44"/>
        </w:rPr>
      </w:pPr>
    </w:p>
    <w:p>
      <w:pPr>
        <w:pStyle w:val="47"/>
        <w:tabs>
          <w:tab w:val="left" w:pos="6379"/>
        </w:tabs>
        <w:spacing w:line="560" w:lineRule="exact"/>
        <w:ind w:firstLine="0"/>
        <w:jc w:val="center"/>
        <w:rPr>
          <w:rFonts w:ascii="方正小标宋简体" w:eastAsia="方正小标宋简体"/>
          <w:sz w:val="44"/>
          <w:szCs w:val="44"/>
        </w:rPr>
      </w:pPr>
      <w:bookmarkStart w:id="0" w:name="_GoBack"/>
      <w:r>
        <w:rPr>
          <w:rFonts w:hint="eastAsia" w:ascii="方正小标宋简体" w:eastAsia="方正小标宋简体"/>
          <w:sz w:val="44"/>
          <w:szCs w:val="44"/>
        </w:rPr>
        <w:t>关于广东晟峰新材料科技有限公司危险化学品仓库新建项目环境影响报告</w:t>
      </w:r>
      <w:r>
        <w:rPr>
          <w:rFonts w:hint="eastAsia" w:ascii="方正小标宋简体" w:eastAsia="方正小标宋简体"/>
          <w:sz w:val="44"/>
          <w:szCs w:val="44"/>
          <w:lang w:eastAsia="zh-CN"/>
        </w:rPr>
        <w:t>表</w:t>
      </w:r>
      <w:r>
        <w:rPr>
          <w:rFonts w:hint="eastAsia" w:ascii="方正小标宋简体" w:eastAsia="方正小标宋简体"/>
          <w:sz w:val="44"/>
          <w:szCs w:val="44"/>
        </w:rPr>
        <w:t>的批复</w:t>
      </w:r>
    </w:p>
    <w:bookmarkEnd w:id="0"/>
    <w:p>
      <w:pPr>
        <w:pStyle w:val="47"/>
        <w:tabs>
          <w:tab w:val="left" w:pos="6379"/>
        </w:tabs>
        <w:spacing w:line="560" w:lineRule="exact"/>
        <w:ind w:firstLine="0"/>
        <w:jc w:val="center"/>
        <w:rPr>
          <w:rFonts w:asciiTheme="minorEastAsia" w:hAnsiTheme="minorEastAsia"/>
          <w:b/>
          <w:sz w:val="36"/>
          <w:szCs w:val="36"/>
        </w:rPr>
      </w:pPr>
    </w:p>
    <w:p>
      <w:pPr>
        <w:pStyle w:val="47"/>
        <w:tabs>
          <w:tab w:val="left" w:pos="6379"/>
        </w:tabs>
        <w:spacing w:line="560" w:lineRule="exact"/>
        <w:ind w:firstLine="0"/>
        <w:jc w:val="left"/>
        <w:rPr>
          <w:rFonts w:ascii="仿宋_GB2312" w:hAnsi="宋体" w:eastAsia="仿宋_GB2312" w:cs="仿宋_GB2312"/>
          <w:sz w:val="32"/>
          <w:szCs w:val="32"/>
        </w:rPr>
      </w:pPr>
      <w:r>
        <w:rPr>
          <w:rFonts w:hint="eastAsia" w:ascii="仿宋_GB2312" w:hAnsi="宋体" w:eastAsia="仿宋_GB2312" w:cs="仿宋_GB2312"/>
          <w:sz w:val="32"/>
          <w:szCs w:val="32"/>
          <w:lang w:eastAsia="zh-CN"/>
        </w:rPr>
        <w:t>广东晟峰新材料科技有限公司（统一社会信用代码：91445322MA56W4T95U）：</w:t>
      </w:r>
    </w:p>
    <w:p>
      <w:pPr>
        <w:pStyle w:val="47"/>
        <w:tabs>
          <w:tab w:val="left" w:pos="6379"/>
        </w:tabs>
        <w:spacing w:line="560" w:lineRule="exact"/>
        <w:ind w:firstLine="618" w:firstLineChars="200"/>
        <w:rPr>
          <w:rFonts w:hint="eastAsia" w:ascii="仿宋_GB2312" w:hAnsi="宋体" w:eastAsia="仿宋_GB2312" w:cs="仿宋_GB2312"/>
          <w:sz w:val="32"/>
          <w:szCs w:val="32"/>
        </w:rPr>
      </w:pPr>
      <w:r>
        <w:rPr>
          <w:rFonts w:hint="eastAsia" w:ascii="仿宋_GB2312" w:hAnsi="宋体" w:eastAsia="仿宋_GB2312" w:cs="仿宋_GB2312"/>
          <w:sz w:val="32"/>
          <w:szCs w:val="32"/>
        </w:rPr>
        <w:t>你单位报送的《广东晟峰新材料科技有限公司危险化学品仓库新建项目环境影响报告表》（以下简称</w:t>
      </w:r>
      <w:r>
        <w:rPr>
          <w:rFonts w:hint="eastAsia" w:ascii="仿宋_GB2312" w:hAnsi="宋体" w:eastAsia="仿宋_GB2312" w:cs="仿宋_GB2312"/>
          <w:sz w:val="32"/>
          <w:szCs w:val="32"/>
          <w:lang w:eastAsia="zh-CN"/>
        </w:rPr>
        <w:t>“</w:t>
      </w:r>
      <w:r>
        <w:rPr>
          <w:rFonts w:hint="eastAsia" w:ascii="仿宋_GB2312" w:hAnsi="宋体" w:eastAsia="仿宋_GB2312" w:cs="仿宋_GB2312"/>
          <w:sz w:val="32"/>
          <w:szCs w:val="32"/>
        </w:rPr>
        <w:t>报告</w:t>
      </w:r>
      <w:r>
        <w:rPr>
          <w:rFonts w:hint="eastAsia" w:ascii="仿宋_GB2312" w:hAnsi="宋体" w:eastAsia="仿宋_GB2312" w:cs="仿宋_GB2312"/>
          <w:sz w:val="32"/>
          <w:szCs w:val="32"/>
          <w:lang w:eastAsia="zh-CN"/>
        </w:rPr>
        <w:t>表”</w:t>
      </w:r>
      <w:r>
        <w:rPr>
          <w:rFonts w:hint="eastAsia" w:ascii="仿宋_GB2312" w:hAnsi="宋体" w:eastAsia="仿宋_GB2312" w:cs="仿宋_GB2312"/>
          <w:sz w:val="32"/>
          <w:szCs w:val="32"/>
        </w:rPr>
        <w:t>）等相关材料收悉。经研究,批复如下:</w:t>
      </w:r>
    </w:p>
    <w:p>
      <w:pPr>
        <w:pStyle w:val="47"/>
        <w:keepNext w:val="0"/>
        <w:keepLines w:val="0"/>
        <w:pageBreakBefore w:val="0"/>
        <w:widowControl w:val="0"/>
        <w:numPr>
          <w:ilvl w:val="0"/>
          <w:numId w:val="3"/>
        </w:numPr>
        <w:tabs>
          <w:tab w:val="left" w:pos="6379"/>
        </w:tabs>
        <w:kinsoku/>
        <w:wordWrap/>
        <w:overflowPunct/>
        <w:topLinePunct w:val="0"/>
        <w:autoSpaceDE/>
        <w:autoSpaceDN/>
        <w:bidi w:val="0"/>
        <w:adjustRightInd w:val="0"/>
        <w:snapToGrid/>
        <w:spacing w:line="560" w:lineRule="exact"/>
        <w:ind w:leftChars="0" w:firstLine="618" w:firstLineChars="200"/>
        <w:textAlignment w:val="baseline"/>
        <w:rPr>
          <w:rFonts w:hint="eastAsia" w:ascii="仿宋_GB2312" w:hAnsi="宋体" w:eastAsia="仿宋_GB2312" w:cs="仿宋_GB2312"/>
          <w:sz w:val="32"/>
          <w:szCs w:val="32"/>
        </w:rPr>
      </w:pPr>
      <w:r>
        <w:rPr>
          <w:rFonts w:hint="eastAsia" w:ascii="仿宋_GB2312" w:hAnsi="宋体" w:eastAsia="仿宋_GB2312" w:cs="仿宋_GB2312"/>
          <w:sz w:val="32"/>
          <w:szCs w:val="32"/>
        </w:rPr>
        <w:t>广东晟峰新材料科技有限公司危险化学品仓库新建项目（以下简称“项目”</w:t>
      </w:r>
      <w:r>
        <w:rPr>
          <w:rFonts w:hint="eastAsia" w:ascii="仿宋_GB2312" w:hAnsi="宋体" w:eastAsia="仿宋_GB2312" w:cs="仿宋_GB2312"/>
          <w:sz w:val="32"/>
          <w:szCs w:val="32"/>
          <w:lang w:eastAsia="zh-CN"/>
        </w:rPr>
        <w:t>，项目代码：2202-445322-04-01-766894</w:t>
      </w:r>
      <w:r>
        <w:rPr>
          <w:rFonts w:hint="eastAsia" w:ascii="仿宋_GB2312" w:hAnsi="宋体" w:eastAsia="仿宋_GB2312" w:cs="仿宋_GB2312"/>
          <w:sz w:val="32"/>
          <w:szCs w:val="32"/>
        </w:rPr>
        <w:t>）位于云浮市郁南县大湾镇工业园A13-1-a2地块</w:t>
      </w:r>
      <w:r>
        <w:rPr>
          <w:rFonts w:hint="eastAsia" w:ascii="仿宋_GB2312" w:hAnsi="宋体" w:eastAsia="仿宋_GB2312" w:cs="仿宋_GB2312"/>
          <w:sz w:val="32"/>
          <w:szCs w:val="32"/>
          <w:lang w:eastAsia="zh-CN"/>
        </w:rPr>
        <w:t>（</w:t>
      </w:r>
      <w:r>
        <w:rPr>
          <w:rFonts w:hint="eastAsia" w:ascii="仿宋_GB2312" w:hAnsi="宋体" w:eastAsia="仿宋_GB2312" w:cs="仿宋_GB2312"/>
          <w:sz w:val="32"/>
          <w:szCs w:val="32"/>
        </w:rPr>
        <w:t>地理坐标</w:t>
      </w:r>
      <w:r>
        <w:rPr>
          <w:rFonts w:hint="eastAsia" w:ascii="仿宋_GB2312" w:hAnsi="宋体" w:eastAsia="仿宋_GB2312" w:cs="仿宋_GB2312"/>
          <w:sz w:val="32"/>
          <w:szCs w:val="32"/>
          <w:lang w:eastAsia="zh-CN"/>
        </w:rPr>
        <w:t>：</w:t>
      </w:r>
      <w:r>
        <w:rPr>
          <w:rFonts w:hint="eastAsia" w:ascii="仿宋_GB2312" w:hAnsi="宋体" w:eastAsia="仿宋_GB2312" w:cs="仿宋_GB2312"/>
          <w:sz w:val="32"/>
          <w:szCs w:val="32"/>
        </w:rPr>
        <w:t>东经111°37'44.679"，北纬22°50'18.730"</w:t>
      </w:r>
      <w:r>
        <w:rPr>
          <w:rFonts w:hint="eastAsia" w:ascii="仿宋_GB2312" w:hAnsi="宋体" w:eastAsia="仿宋_GB2312" w:cs="仿宋_GB2312"/>
          <w:sz w:val="32"/>
          <w:szCs w:val="32"/>
          <w:lang w:eastAsia="zh-CN"/>
        </w:rPr>
        <w:t>，</w:t>
      </w:r>
      <w:r>
        <w:rPr>
          <w:rFonts w:hint="eastAsia" w:ascii="仿宋_GB2312" w:hAnsi="宋体" w:eastAsia="仿宋_GB2312" w:cs="仿宋_GB2312"/>
          <w:sz w:val="32"/>
          <w:szCs w:val="32"/>
        </w:rPr>
        <w:t>来源：91位图助手）</w:t>
      </w:r>
      <w:r>
        <w:rPr>
          <w:rFonts w:hint="eastAsia" w:ascii="仿宋_GB2312" w:hAnsi="宋体" w:eastAsia="仿宋_GB2312" w:cs="仿宋_GB2312"/>
          <w:sz w:val="32"/>
          <w:szCs w:val="32"/>
          <w:lang w:eastAsia="zh-CN"/>
        </w:rPr>
        <w:t>）</w:t>
      </w:r>
      <w:r>
        <w:rPr>
          <w:rFonts w:hint="eastAsia" w:ascii="仿宋_GB2312" w:hAnsi="宋体" w:eastAsia="仿宋_GB2312" w:cs="仿宋_GB2312"/>
          <w:sz w:val="32"/>
          <w:szCs w:val="32"/>
        </w:rPr>
        <w:t>，项目占地面积为43333.43</w:t>
      </w:r>
      <w:r>
        <w:rPr>
          <w:rFonts w:hint="eastAsia" w:ascii="仿宋_GB2312" w:hAnsi="宋体" w:eastAsia="仿宋_GB2312" w:cs="仿宋_GB2312"/>
          <w:sz w:val="32"/>
          <w:szCs w:val="32"/>
          <w:lang w:eastAsia="zh-CN"/>
        </w:rPr>
        <w:t>平方米</w:t>
      </w:r>
      <w:r>
        <w:rPr>
          <w:rFonts w:hint="eastAsia" w:ascii="仿宋_GB2312" w:hAnsi="宋体" w:eastAsia="仿宋_GB2312" w:cs="仿宋_GB2312"/>
          <w:sz w:val="32"/>
          <w:szCs w:val="32"/>
        </w:rPr>
        <w:t>，总投资为16500万，其中环保投资50万，项目主要从事危险化学品储存。本次建设内容主要包括一栋甲类仓库，三栋丙类仓库，以及一栋综合楼、一栋公用工程房、三栋甲类车间、一栋联合厂房及其他附属工程的建设（除仓库外，其他均为预留厂房/建筑，不含具体生产内容，后续如有进驻设备另行环评）。项目劳动定员为5人，均不在厂内食宿，年工作300天，其中仓库工作制度为一班制（8小时/天）；一体化污水处理设施需安排专人值班，三班制（一班8小时，为24小时/天）。</w:t>
      </w:r>
    </w:p>
    <w:p>
      <w:pPr>
        <w:pStyle w:val="47"/>
        <w:keepNext w:val="0"/>
        <w:keepLines w:val="0"/>
        <w:pageBreakBefore w:val="0"/>
        <w:widowControl w:val="0"/>
        <w:numPr>
          <w:ilvl w:val="0"/>
          <w:numId w:val="3"/>
        </w:numPr>
        <w:tabs>
          <w:tab w:val="left" w:pos="6379"/>
        </w:tabs>
        <w:kinsoku/>
        <w:wordWrap/>
        <w:overflowPunct/>
        <w:topLinePunct w:val="0"/>
        <w:autoSpaceDE/>
        <w:autoSpaceDN/>
        <w:bidi w:val="0"/>
        <w:adjustRightInd w:val="0"/>
        <w:snapToGrid/>
        <w:spacing w:line="560" w:lineRule="exact"/>
        <w:ind w:leftChars="0" w:firstLine="618" w:firstLineChars="200"/>
        <w:textAlignment w:val="baseline"/>
        <w:rPr>
          <w:rFonts w:ascii="仿宋_GB2312" w:hAnsi="宋体" w:eastAsia="仿宋_GB2312" w:cs="仿宋_GB2312"/>
          <w:sz w:val="32"/>
          <w:szCs w:val="32"/>
        </w:rPr>
      </w:pPr>
      <w:r>
        <w:rPr>
          <w:rFonts w:hint="eastAsia" w:ascii="仿宋_GB2312" w:hAnsi="宋体" w:eastAsia="仿宋_GB2312" w:cs="仿宋_GB2312"/>
          <w:sz w:val="32"/>
          <w:szCs w:val="32"/>
          <w:lang w:eastAsia="zh-CN"/>
        </w:rPr>
        <w:t>根据《报告表》的评价结论、广东粤环生态环境有限公司的技术评估意见，在全面落实《报告表》提出的各项污染防治和环境风险防范措施，并确保各类污染物稳定达标排放且符合总量控制要求的前提下，项目按照《报告表》中所列性质、规模、地点、采用的污染防治、防止生态破坏的措施进行建设，从生态环境保护角度可行。</w:t>
      </w:r>
      <w:r>
        <w:rPr>
          <w:rFonts w:hint="eastAsia" w:ascii="仿宋_GB2312" w:hAnsi="宋体" w:eastAsia="仿宋_GB2312" w:cs="仿宋_GB2312"/>
          <w:sz w:val="32"/>
          <w:szCs w:val="32"/>
        </w:rPr>
        <w:t>我局召开</w:t>
      </w:r>
      <w:r>
        <w:rPr>
          <w:rFonts w:hint="eastAsia" w:ascii="仿宋_GB2312" w:hAnsi="宋体" w:eastAsia="仿宋_GB2312" w:cs="仿宋_GB2312"/>
          <w:sz w:val="32"/>
          <w:szCs w:val="32"/>
          <w:lang w:eastAsia="zh-CN"/>
        </w:rPr>
        <w:t>建设</w:t>
      </w:r>
      <w:r>
        <w:rPr>
          <w:rFonts w:hint="eastAsia" w:ascii="仿宋_GB2312" w:hAnsi="宋体" w:eastAsia="仿宋_GB2312" w:cs="仿宋_GB2312"/>
          <w:sz w:val="32"/>
          <w:szCs w:val="32"/>
        </w:rPr>
        <w:t>项目环境影响评价审查会议审议</w:t>
      </w:r>
      <w:r>
        <w:rPr>
          <w:rFonts w:hint="eastAsia" w:ascii="仿宋_GB2312" w:hAnsi="宋体" w:eastAsia="仿宋_GB2312" w:cs="仿宋_GB2312"/>
          <w:sz w:val="32"/>
          <w:szCs w:val="32"/>
          <w:lang w:eastAsia="zh-CN"/>
        </w:rPr>
        <w:t>，原则</w:t>
      </w:r>
      <w:r>
        <w:rPr>
          <w:rFonts w:hint="eastAsia" w:ascii="仿宋_GB2312" w:hAnsi="宋体" w:eastAsia="仿宋_GB2312" w:cs="仿宋_GB2312"/>
          <w:sz w:val="32"/>
          <w:szCs w:val="32"/>
        </w:rPr>
        <w:t>通过了该</w:t>
      </w:r>
      <w:r>
        <w:rPr>
          <w:rFonts w:hint="eastAsia" w:ascii="仿宋_GB2312" w:hAnsi="宋体" w:eastAsia="仿宋_GB2312" w:cs="仿宋_GB2312"/>
          <w:sz w:val="32"/>
          <w:szCs w:val="32"/>
          <w:lang w:eastAsia="zh-CN"/>
        </w:rPr>
        <w:t>项目报批的《报告表》</w:t>
      </w:r>
      <w:r>
        <w:rPr>
          <w:rFonts w:hint="eastAsia" w:ascii="仿宋_GB2312" w:hAnsi="宋体" w:eastAsia="仿宋_GB2312" w:cs="仿宋_GB2312"/>
          <w:sz w:val="32"/>
          <w:szCs w:val="32"/>
        </w:rPr>
        <w:t>，你单位应按照</w:t>
      </w:r>
      <w:r>
        <w:rPr>
          <w:rFonts w:hint="eastAsia" w:ascii="仿宋_GB2312" w:hAnsi="宋体" w:eastAsia="仿宋_GB2312" w:cs="仿宋_GB2312"/>
          <w:sz w:val="32"/>
          <w:szCs w:val="32"/>
          <w:lang w:eastAsia="zh-CN"/>
        </w:rPr>
        <w:t>《</w:t>
      </w:r>
      <w:r>
        <w:rPr>
          <w:rFonts w:hint="eastAsia" w:ascii="仿宋_GB2312" w:hAnsi="宋体" w:eastAsia="仿宋_GB2312" w:cs="仿宋_GB2312"/>
          <w:sz w:val="32"/>
          <w:szCs w:val="32"/>
        </w:rPr>
        <w:t>报告</w:t>
      </w:r>
      <w:r>
        <w:rPr>
          <w:rFonts w:hint="eastAsia" w:ascii="仿宋_GB2312" w:hAnsi="宋体" w:eastAsia="仿宋_GB2312" w:cs="仿宋_GB2312"/>
          <w:sz w:val="32"/>
          <w:szCs w:val="32"/>
          <w:lang w:eastAsia="zh-CN"/>
        </w:rPr>
        <w:t>表》</w:t>
      </w:r>
      <w:r>
        <w:rPr>
          <w:rFonts w:hint="eastAsia" w:ascii="仿宋_GB2312" w:hAnsi="宋体" w:eastAsia="仿宋_GB2312" w:cs="仿宋_GB2312"/>
          <w:sz w:val="32"/>
          <w:szCs w:val="32"/>
        </w:rPr>
        <w:t>内容组织实施。</w:t>
      </w:r>
    </w:p>
    <w:p>
      <w:pPr>
        <w:pStyle w:val="47"/>
        <w:keepNext w:val="0"/>
        <w:keepLines w:val="0"/>
        <w:pageBreakBefore w:val="0"/>
        <w:widowControl w:val="0"/>
        <w:numPr>
          <w:ilvl w:val="0"/>
          <w:numId w:val="3"/>
        </w:numPr>
        <w:tabs>
          <w:tab w:val="left" w:pos="6379"/>
        </w:tabs>
        <w:kinsoku/>
        <w:wordWrap/>
        <w:overflowPunct/>
        <w:topLinePunct w:val="0"/>
        <w:autoSpaceDE/>
        <w:autoSpaceDN/>
        <w:bidi w:val="0"/>
        <w:adjustRightInd w:val="0"/>
        <w:snapToGrid/>
        <w:spacing w:line="560" w:lineRule="exact"/>
        <w:ind w:leftChars="0" w:firstLine="618" w:firstLineChars="200"/>
        <w:textAlignment w:val="baseline"/>
        <w:rPr>
          <w:rFonts w:ascii="仿宋_GB2312" w:hAnsi="宋体" w:eastAsia="仿宋_GB2312" w:cs="仿宋_GB2312"/>
          <w:sz w:val="32"/>
          <w:szCs w:val="32"/>
        </w:rPr>
      </w:pPr>
      <w:r>
        <w:rPr>
          <w:rFonts w:hint="eastAsia" w:ascii="仿宋_GB2312" w:hAnsi="宋体" w:eastAsia="仿宋_GB2312" w:cs="仿宋_GB2312"/>
          <w:sz w:val="32"/>
          <w:szCs w:val="32"/>
        </w:rPr>
        <w:t>项目建设和运营中还应重点做好以下工作：</w:t>
      </w:r>
    </w:p>
    <w:p>
      <w:pPr>
        <w:pStyle w:val="47"/>
        <w:keepNext w:val="0"/>
        <w:keepLines w:val="0"/>
        <w:pageBreakBefore w:val="0"/>
        <w:widowControl w:val="0"/>
        <w:numPr>
          <w:ilvl w:val="0"/>
          <w:numId w:val="0"/>
        </w:numPr>
        <w:tabs>
          <w:tab w:val="left" w:pos="6379"/>
        </w:tabs>
        <w:kinsoku/>
        <w:wordWrap/>
        <w:overflowPunct/>
        <w:topLinePunct w:val="0"/>
        <w:autoSpaceDE/>
        <w:autoSpaceDN/>
        <w:bidi w:val="0"/>
        <w:adjustRightInd w:val="0"/>
        <w:snapToGrid/>
        <w:spacing w:line="560" w:lineRule="exact"/>
        <w:ind w:firstLine="618" w:firstLineChars="200"/>
        <w:textAlignment w:val="baseline"/>
        <w:rPr>
          <w:rFonts w:hint="eastAsia" w:ascii="仿宋_GB2312" w:hAnsi="宋体" w:eastAsia="仿宋_GB2312" w:cs="仿宋_GB2312"/>
          <w:sz w:val="32"/>
          <w:szCs w:val="32"/>
          <w:lang w:eastAsia="zh-CN"/>
        </w:rPr>
      </w:pPr>
      <w:r>
        <w:rPr>
          <w:rFonts w:hint="eastAsia" w:ascii="仿宋_GB2312" w:hAnsi="宋体" w:eastAsia="仿宋_GB2312" w:cs="仿宋_GB2312"/>
          <w:sz w:val="32"/>
          <w:szCs w:val="32"/>
          <w:lang w:eastAsia="zh-CN"/>
        </w:rPr>
        <w:t>（一）落实大气污染防治措施，项目为仓储类项目，仓库不设分装和灌装等加工工序，确保无生产废气产生。</w:t>
      </w:r>
      <w:r>
        <w:rPr>
          <w:rFonts w:hint="eastAsia" w:ascii="仿宋_GB2312" w:hAnsi="宋体" w:eastAsia="仿宋_GB2312" w:cs="仿宋_GB2312"/>
          <w:sz w:val="32"/>
          <w:szCs w:val="32"/>
          <w:lang w:val="en-US" w:eastAsia="zh-CN"/>
        </w:rPr>
        <w:t>项目主要废气污染源为一体化污水设施运行过程中产生的臭气，主要污染物为NH</w:t>
      </w:r>
      <w:r>
        <w:rPr>
          <w:rFonts w:hint="eastAsia" w:ascii="仿宋_GB2312" w:hAnsi="宋体" w:eastAsia="仿宋_GB2312" w:cs="仿宋_GB2312"/>
          <w:sz w:val="32"/>
          <w:szCs w:val="32"/>
          <w:vertAlign w:val="subscript"/>
          <w:lang w:val="en-US" w:eastAsia="zh-CN"/>
        </w:rPr>
        <w:t>3</w:t>
      </w:r>
      <w:r>
        <w:rPr>
          <w:rFonts w:hint="eastAsia" w:ascii="仿宋_GB2312" w:hAnsi="宋体" w:eastAsia="仿宋_GB2312" w:cs="仿宋_GB2312"/>
          <w:sz w:val="32"/>
          <w:szCs w:val="32"/>
          <w:lang w:val="en-US" w:eastAsia="zh-CN"/>
        </w:rPr>
        <w:t>、H</w:t>
      </w:r>
      <w:r>
        <w:rPr>
          <w:rFonts w:hint="eastAsia" w:ascii="仿宋_GB2312" w:hAnsi="宋体" w:eastAsia="仿宋_GB2312" w:cs="仿宋_GB2312"/>
          <w:sz w:val="32"/>
          <w:szCs w:val="32"/>
          <w:vertAlign w:val="subscript"/>
          <w:lang w:val="en-US" w:eastAsia="zh-CN"/>
        </w:rPr>
        <w:t>2</w:t>
      </w:r>
      <w:r>
        <w:rPr>
          <w:rFonts w:hint="eastAsia" w:ascii="仿宋_GB2312" w:hAnsi="宋体" w:eastAsia="仿宋_GB2312" w:cs="仿宋_GB2312"/>
          <w:sz w:val="32"/>
          <w:szCs w:val="32"/>
          <w:lang w:val="en-US" w:eastAsia="zh-CN"/>
        </w:rPr>
        <w:t>S、臭气浓度，采取顶部加盖密封并定期喷洒除臭剂，达到《恶臭污染物排放标准》（GB14554-1993）中恶臭污染物新改扩建厂界标准值二级标准要求。</w:t>
      </w:r>
    </w:p>
    <w:p>
      <w:pPr>
        <w:pStyle w:val="47"/>
        <w:keepNext w:val="0"/>
        <w:keepLines w:val="0"/>
        <w:pageBreakBefore w:val="0"/>
        <w:widowControl w:val="0"/>
        <w:numPr>
          <w:ilvl w:val="0"/>
          <w:numId w:val="0"/>
        </w:numPr>
        <w:tabs>
          <w:tab w:val="left" w:pos="6379"/>
        </w:tabs>
        <w:kinsoku/>
        <w:wordWrap/>
        <w:overflowPunct/>
        <w:topLinePunct w:val="0"/>
        <w:autoSpaceDE/>
        <w:autoSpaceDN/>
        <w:bidi w:val="0"/>
        <w:adjustRightInd w:val="0"/>
        <w:snapToGrid/>
        <w:spacing w:line="560" w:lineRule="exact"/>
        <w:ind w:firstLine="618" w:firstLineChars="200"/>
        <w:textAlignment w:val="baseline"/>
        <w:rPr>
          <w:rFonts w:hint="eastAsia" w:ascii="仿宋_GB2312" w:hAnsi="宋体" w:eastAsia="仿宋_GB2312" w:cs="仿宋_GB2312"/>
          <w:sz w:val="32"/>
          <w:szCs w:val="32"/>
          <w:lang w:eastAsia="zh-CN"/>
        </w:rPr>
      </w:pPr>
      <w:r>
        <w:rPr>
          <w:rFonts w:hint="eastAsia" w:ascii="仿宋_GB2312" w:hAnsi="宋体" w:eastAsia="仿宋_GB2312" w:cs="仿宋_GB2312"/>
          <w:sz w:val="32"/>
          <w:szCs w:val="32"/>
          <w:lang w:eastAsia="zh-CN"/>
        </w:rPr>
        <w:t>（二）落实水污染防治措施，生活污水、综合废水（地面清洗废水和初期雨水）分类收集经自建污水处理设施预处理达到广东省地方标准《水污染物排放限值》(DB44/26-2001)第二时段三级标准和郁南县大湾镇污水处理厂进水水质标准较严值后通过园区污水管网排放至</w:t>
      </w:r>
      <w:r>
        <w:rPr>
          <w:rFonts w:hint="eastAsia" w:ascii="仿宋_GB2312" w:hAnsi="宋体" w:eastAsia="仿宋_GB2312" w:cs="仿宋_GB2312"/>
          <w:sz w:val="32"/>
          <w:szCs w:val="32"/>
          <w:lang w:eastAsia="zh-CN"/>
        </w:rPr>
        <w:t>郁南县大湾镇污水处理厂</w:t>
      </w:r>
      <w:r>
        <w:rPr>
          <w:rFonts w:hint="eastAsia" w:ascii="仿宋_GB2312" w:hAnsi="宋体" w:eastAsia="仿宋_GB2312" w:cs="仿宋_GB2312"/>
          <w:sz w:val="32"/>
          <w:szCs w:val="32"/>
          <w:lang w:eastAsia="zh-CN"/>
        </w:rPr>
        <w:t>进行深度达标处理。</w:t>
      </w:r>
    </w:p>
    <w:p>
      <w:pPr>
        <w:pStyle w:val="47"/>
        <w:keepNext w:val="0"/>
        <w:keepLines w:val="0"/>
        <w:pageBreakBefore w:val="0"/>
        <w:widowControl w:val="0"/>
        <w:numPr>
          <w:ilvl w:val="0"/>
          <w:numId w:val="0"/>
        </w:numPr>
        <w:tabs>
          <w:tab w:val="left" w:pos="6379"/>
        </w:tabs>
        <w:kinsoku/>
        <w:wordWrap/>
        <w:overflowPunct/>
        <w:topLinePunct w:val="0"/>
        <w:autoSpaceDE/>
        <w:autoSpaceDN/>
        <w:bidi w:val="0"/>
        <w:adjustRightInd w:val="0"/>
        <w:snapToGrid/>
        <w:spacing w:line="560" w:lineRule="exact"/>
        <w:ind w:firstLine="618" w:firstLineChars="200"/>
        <w:textAlignment w:val="baseline"/>
        <w:rPr>
          <w:rFonts w:hint="eastAsia" w:ascii="仿宋_GB2312" w:hAnsi="宋体" w:eastAsia="仿宋_GB2312" w:cs="仿宋_GB2312"/>
          <w:sz w:val="32"/>
          <w:szCs w:val="32"/>
          <w:lang w:eastAsia="zh-CN"/>
        </w:rPr>
      </w:pPr>
      <w:r>
        <w:rPr>
          <w:rFonts w:hint="eastAsia" w:ascii="仿宋_GB2312" w:hAnsi="宋体" w:eastAsia="仿宋_GB2312" w:cs="仿宋_GB2312"/>
          <w:sz w:val="32"/>
          <w:szCs w:val="32"/>
          <w:lang w:eastAsia="zh-CN"/>
        </w:rPr>
        <w:t>（三）通过优化厂区布局，选用低噪声设备及采取减震、隔音、降噪等措施，确保厂界噪声符合《工业企业厂界环境噪声排放标准》（GB12348-2008）中的3类声环境功能区排放限值要求。</w:t>
      </w:r>
    </w:p>
    <w:p>
      <w:pPr>
        <w:pStyle w:val="47"/>
        <w:keepNext w:val="0"/>
        <w:keepLines w:val="0"/>
        <w:pageBreakBefore w:val="0"/>
        <w:widowControl w:val="0"/>
        <w:numPr>
          <w:ilvl w:val="0"/>
          <w:numId w:val="0"/>
        </w:numPr>
        <w:tabs>
          <w:tab w:val="left" w:pos="6379"/>
        </w:tabs>
        <w:kinsoku/>
        <w:wordWrap/>
        <w:overflowPunct/>
        <w:topLinePunct w:val="0"/>
        <w:autoSpaceDE/>
        <w:autoSpaceDN/>
        <w:bidi w:val="0"/>
        <w:adjustRightInd w:val="0"/>
        <w:snapToGrid/>
        <w:spacing w:line="560" w:lineRule="exact"/>
        <w:ind w:firstLine="618" w:firstLineChars="200"/>
        <w:textAlignment w:val="baseline"/>
        <w:rPr>
          <w:rFonts w:hint="eastAsia" w:ascii="仿宋_GB2312" w:hAnsi="宋体" w:eastAsia="仿宋_GB2312" w:cs="仿宋_GB2312"/>
          <w:sz w:val="32"/>
          <w:szCs w:val="32"/>
          <w:lang w:eastAsia="zh-CN"/>
        </w:rPr>
      </w:pPr>
      <w:r>
        <w:rPr>
          <w:rFonts w:hint="eastAsia" w:ascii="仿宋_GB2312" w:hAnsi="宋体" w:eastAsia="仿宋_GB2312" w:cs="仿宋_GB2312"/>
          <w:sz w:val="32"/>
          <w:szCs w:val="32"/>
          <w:lang w:eastAsia="zh-CN"/>
        </w:rPr>
        <w:t>（四）按固体废物“资源化、减量化、无害化”处理处置原则，落实各类固体废物的处置和综合利用措施，危险废物须妥善收集后交有资质的危险废物处理单位处理。</w:t>
      </w:r>
    </w:p>
    <w:p>
      <w:pPr>
        <w:pStyle w:val="47"/>
        <w:keepNext w:val="0"/>
        <w:keepLines w:val="0"/>
        <w:pageBreakBefore w:val="0"/>
        <w:widowControl w:val="0"/>
        <w:numPr>
          <w:ilvl w:val="0"/>
          <w:numId w:val="0"/>
        </w:numPr>
        <w:tabs>
          <w:tab w:val="left" w:pos="6379"/>
        </w:tabs>
        <w:kinsoku/>
        <w:wordWrap/>
        <w:overflowPunct/>
        <w:topLinePunct w:val="0"/>
        <w:autoSpaceDE/>
        <w:autoSpaceDN/>
        <w:bidi w:val="0"/>
        <w:adjustRightInd w:val="0"/>
        <w:snapToGrid/>
        <w:spacing w:line="560" w:lineRule="exact"/>
        <w:ind w:firstLine="618" w:firstLineChars="200"/>
        <w:textAlignment w:val="baseline"/>
        <w:rPr>
          <w:rFonts w:hint="eastAsia" w:ascii="仿宋_GB2312" w:hAnsi="宋体" w:eastAsia="仿宋_GB2312" w:cs="仿宋_GB2312"/>
          <w:sz w:val="32"/>
          <w:szCs w:val="32"/>
          <w:lang w:eastAsia="zh-CN"/>
        </w:rPr>
      </w:pPr>
      <w:r>
        <w:rPr>
          <w:rFonts w:hint="eastAsia" w:ascii="仿宋_GB2312" w:hAnsi="宋体" w:eastAsia="仿宋_GB2312" w:cs="仿宋_GB2312"/>
          <w:sz w:val="32"/>
          <w:szCs w:val="32"/>
          <w:lang w:eastAsia="zh-CN"/>
        </w:rPr>
        <w:t>（五）做好存储化学品及仓库、废水收集处理设施等的防腐防渗措施，并采取措施防止跑、冒、滴、漏，避免污染土壤、地下水。</w:t>
      </w:r>
    </w:p>
    <w:p>
      <w:pPr>
        <w:pStyle w:val="47"/>
        <w:keepNext w:val="0"/>
        <w:keepLines w:val="0"/>
        <w:pageBreakBefore w:val="0"/>
        <w:widowControl w:val="0"/>
        <w:numPr>
          <w:ilvl w:val="0"/>
          <w:numId w:val="0"/>
        </w:numPr>
        <w:tabs>
          <w:tab w:val="left" w:pos="6379"/>
        </w:tabs>
        <w:kinsoku/>
        <w:wordWrap/>
        <w:overflowPunct/>
        <w:topLinePunct w:val="0"/>
        <w:autoSpaceDE/>
        <w:autoSpaceDN/>
        <w:bidi w:val="0"/>
        <w:adjustRightInd w:val="0"/>
        <w:snapToGrid/>
        <w:spacing w:line="560" w:lineRule="exact"/>
        <w:ind w:firstLine="618" w:firstLineChars="200"/>
        <w:textAlignment w:val="baseline"/>
        <w:rPr>
          <w:rFonts w:hint="eastAsia" w:ascii="仿宋_GB2312" w:hAnsi="宋体" w:eastAsia="仿宋_GB2312" w:cs="仿宋_GB2312"/>
          <w:sz w:val="32"/>
          <w:szCs w:val="32"/>
          <w:lang w:eastAsia="zh-CN"/>
        </w:rPr>
      </w:pPr>
      <w:r>
        <w:rPr>
          <w:rFonts w:hint="eastAsia" w:ascii="仿宋_GB2312" w:hAnsi="宋体" w:eastAsia="仿宋_GB2312" w:cs="仿宋_GB2312"/>
          <w:sz w:val="32"/>
          <w:szCs w:val="32"/>
          <w:lang w:eastAsia="zh-CN"/>
        </w:rPr>
        <w:t>（六）落实环境风险预防措施，强化环境风险防范管理，制订突发环境事件应急预案，建立健全环境事故应急体系，设置足够容积的事故应急收集设施和雨污水管道隔离闸，落实有效的事故风险防范、应急措施，加强事故应急演练，保证各类事故性排放得到收集和妥善处理，确保环境安全。</w:t>
      </w:r>
    </w:p>
    <w:p>
      <w:pPr>
        <w:pStyle w:val="47"/>
        <w:keepNext w:val="0"/>
        <w:keepLines w:val="0"/>
        <w:pageBreakBefore w:val="0"/>
        <w:widowControl w:val="0"/>
        <w:numPr>
          <w:ilvl w:val="0"/>
          <w:numId w:val="0"/>
        </w:numPr>
        <w:tabs>
          <w:tab w:val="left" w:pos="6379"/>
        </w:tabs>
        <w:kinsoku/>
        <w:wordWrap/>
        <w:overflowPunct/>
        <w:topLinePunct w:val="0"/>
        <w:autoSpaceDE/>
        <w:autoSpaceDN/>
        <w:bidi w:val="0"/>
        <w:adjustRightInd w:val="0"/>
        <w:snapToGrid/>
        <w:spacing w:line="560" w:lineRule="exact"/>
        <w:ind w:firstLine="618" w:firstLineChars="200"/>
        <w:textAlignment w:val="baseline"/>
        <w:rPr>
          <w:rFonts w:hint="eastAsia" w:ascii="仿宋_GB2312" w:hAnsi="宋体" w:eastAsia="仿宋_GB2312" w:cs="仿宋_GB2312"/>
          <w:sz w:val="32"/>
          <w:szCs w:val="32"/>
          <w:lang w:eastAsia="zh-CN"/>
        </w:rPr>
      </w:pPr>
      <w:r>
        <w:rPr>
          <w:rFonts w:hint="eastAsia" w:ascii="仿宋_GB2312" w:hAnsi="宋体" w:eastAsia="仿宋_GB2312" w:cs="仿宋_GB2312"/>
          <w:sz w:val="32"/>
          <w:szCs w:val="32"/>
          <w:lang w:eastAsia="zh-CN"/>
        </w:rPr>
        <w:t>（七）做好施工期的环境保护工作，落实施工期污染防治措施。合理安排施工时间，选择低噪声施工设备，并采用有效消声减噪措施，防止噪声影响，施工期噪声执行《建筑施工场界环境噪声排放标准》（GB12523-2011）排放限值。施工现场应采取有效的水污染防治措施，落实“六个 100%”等扬尘防治措施，施工扬尘等大气污染物排放应符合广东省地方标准《大气污染物排放限值》（DB44/27-2001）第二时段无组织排放监控浓度限值要求。</w:t>
      </w:r>
    </w:p>
    <w:p>
      <w:pPr>
        <w:pStyle w:val="47"/>
        <w:keepNext w:val="0"/>
        <w:keepLines w:val="0"/>
        <w:pageBreakBefore w:val="0"/>
        <w:widowControl w:val="0"/>
        <w:numPr>
          <w:ilvl w:val="0"/>
          <w:numId w:val="0"/>
        </w:numPr>
        <w:tabs>
          <w:tab w:val="left" w:pos="6379"/>
        </w:tabs>
        <w:kinsoku/>
        <w:wordWrap/>
        <w:overflowPunct/>
        <w:topLinePunct w:val="0"/>
        <w:autoSpaceDE/>
        <w:autoSpaceDN/>
        <w:bidi w:val="0"/>
        <w:adjustRightInd w:val="0"/>
        <w:snapToGrid/>
        <w:spacing w:line="560" w:lineRule="exact"/>
        <w:ind w:firstLine="618" w:firstLineChars="200"/>
        <w:textAlignment w:val="baseline"/>
        <w:rPr>
          <w:rFonts w:hint="eastAsia" w:ascii="仿宋_GB2312" w:hAnsi="宋体" w:eastAsia="仿宋_GB2312" w:cs="仿宋_GB2312"/>
          <w:sz w:val="32"/>
          <w:szCs w:val="32"/>
          <w:lang w:eastAsia="zh-CN"/>
        </w:rPr>
      </w:pPr>
      <w:r>
        <w:rPr>
          <w:rFonts w:hint="eastAsia" w:ascii="仿宋_GB2312" w:hAnsi="宋体" w:eastAsia="仿宋_GB2312" w:cs="仿宋_GB2312"/>
          <w:sz w:val="32"/>
          <w:szCs w:val="32"/>
          <w:lang w:eastAsia="zh-CN"/>
        </w:rPr>
        <w:t>（八）如颁布了适用于本项目的污染物排放的新标准或要求，则按新标准或要求执行。</w:t>
      </w:r>
    </w:p>
    <w:p>
      <w:pPr>
        <w:pStyle w:val="47"/>
        <w:keepNext w:val="0"/>
        <w:keepLines w:val="0"/>
        <w:pageBreakBefore w:val="0"/>
        <w:widowControl w:val="0"/>
        <w:numPr>
          <w:ilvl w:val="0"/>
          <w:numId w:val="0"/>
        </w:numPr>
        <w:tabs>
          <w:tab w:val="left" w:pos="6379"/>
        </w:tabs>
        <w:kinsoku/>
        <w:wordWrap/>
        <w:overflowPunct/>
        <w:topLinePunct w:val="0"/>
        <w:autoSpaceDE/>
        <w:autoSpaceDN/>
        <w:bidi w:val="0"/>
        <w:adjustRightInd w:val="0"/>
        <w:snapToGrid/>
        <w:spacing w:line="560" w:lineRule="exact"/>
        <w:ind w:firstLine="618" w:firstLineChars="200"/>
        <w:textAlignment w:val="baseline"/>
        <w:rPr>
          <w:rFonts w:hint="eastAsia" w:ascii="仿宋_GB2312" w:hAnsi="宋体" w:eastAsia="仿宋_GB2312" w:cs="仿宋_GB2312"/>
          <w:sz w:val="32"/>
          <w:szCs w:val="32"/>
          <w:lang w:eastAsia="zh-CN"/>
        </w:rPr>
      </w:pPr>
      <w:r>
        <w:rPr>
          <w:rFonts w:hint="eastAsia" w:ascii="仿宋_GB2312" w:hAnsi="宋体" w:eastAsia="仿宋_GB2312" w:cs="仿宋_GB2312"/>
          <w:sz w:val="32"/>
          <w:szCs w:val="32"/>
          <w:lang w:eastAsia="zh-CN"/>
        </w:rPr>
        <w:t>四、《报告表》经批准后，建设项目的性质、规模、地点、采用的生产工艺或者防治污染、防止生态破坏的措施发生重大变动的，你单位应当重新报批建设项目的环境影响评价文件。</w:t>
      </w:r>
    </w:p>
    <w:p>
      <w:pPr>
        <w:pStyle w:val="47"/>
        <w:keepNext w:val="0"/>
        <w:keepLines w:val="0"/>
        <w:pageBreakBefore w:val="0"/>
        <w:widowControl w:val="0"/>
        <w:numPr>
          <w:ilvl w:val="0"/>
          <w:numId w:val="0"/>
        </w:numPr>
        <w:tabs>
          <w:tab w:val="left" w:pos="6379"/>
        </w:tabs>
        <w:kinsoku/>
        <w:wordWrap/>
        <w:overflowPunct/>
        <w:topLinePunct w:val="0"/>
        <w:autoSpaceDE/>
        <w:autoSpaceDN/>
        <w:bidi w:val="0"/>
        <w:adjustRightInd w:val="0"/>
        <w:snapToGrid/>
        <w:spacing w:line="560" w:lineRule="exact"/>
        <w:ind w:firstLine="618" w:firstLineChars="200"/>
        <w:textAlignment w:val="baseline"/>
        <w:rPr>
          <w:rFonts w:hint="eastAsia" w:ascii="仿宋_GB2312" w:hAnsi="宋体" w:eastAsia="仿宋_GB2312" w:cs="仿宋_GB2312"/>
          <w:sz w:val="32"/>
          <w:szCs w:val="32"/>
        </w:rPr>
      </w:pPr>
      <w:r>
        <w:rPr>
          <w:rFonts w:hint="eastAsia" w:ascii="仿宋_GB2312" w:hAnsi="宋体" w:eastAsia="仿宋_GB2312" w:cs="仿宋_GB2312"/>
          <w:sz w:val="32"/>
          <w:szCs w:val="32"/>
          <w:lang w:eastAsia="zh-CN"/>
        </w:rPr>
        <w:t>五、</w:t>
      </w:r>
      <w:r>
        <w:rPr>
          <w:rFonts w:hint="eastAsia" w:ascii="仿宋_GB2312" w:hAnsi="宋体" w:eastAsia="仿宋_GB2312" w:cs="仿宋_GB2312"/>
          <w:sz w:val="32"/>
          <w:szCs w:val="32"/>
        </w:rPr>
        <w:t>该项目还应严格执行配套建设的环境保护设施与主体工程同时设计、同时施工、同时投产使用的环境保护“三同时”制度。项目建成后，你单位应当按照国务院生态环境行政主管部门规定的标准和程序，对配套建设的环境保护设施进行验收。建设项目环境保护“三同时”监督管理工作由云浮市生态环境局郁南分局</w:t>
      </w:r>
      <w:r>
        <w:rPr>
          <w:rFonts w:hint="eastAsia" w:ascii="仿宋" w:hAnsi="仿宋" w:eastAsia="仿宋"/>
          <w:sz w:val="32"/>
          <w:szCs w:val="32"/>
          <w:lang w:eastAsia="zh-CN"/>
        </w:rPr>
        <w:t>执法大队</w:t>
      </w:r>
      <w:r>
        <w:rPr>
          <w:rFonts w:hint="eastAsia" w:ascii="仿宋_GB2312" w:hAnsi="宋体" w:eastAsia="仿宋_GB2312" w:cs="仿宋_GB2312"/>
          <w:sz w:val="32"/>
          <w:szCs w:val="32"/>
        </w:rPr>
        <w:t>负责。</w:t>
      </w:r>
    </w:p>
    <w:p>
      <w:pPr>
        <w:spacing w:line="560" w:lineRule="exact"/>
        <w:ind w:right="640" w:firstLine="618" w:firstLineChars="200"/>
        <w:rPr>
          <w:rFonts w:ascii="仿宋_GB2312" w:hAnsi="仿宋_GB2312" w:eastAsia="仿宋_GB2312"/>
          <w:sz w:val="32"/>
          <w:szCs w:val="32"/>
        </w:rPr>
      </w:pPr>
      <w:r>
        <w:rPr>
          <w:rFonts w:hint="eastAsia" w:ascii="仿宋_GB2312" w:hAnsi="仿宋_GB2312" w:eastAsia="仿宋_GB2312"/>
          <w:sz w:val="32"/>
          <w:szCs w:val="32"/>
          <w:lang w:eastAsia="zh-CN"/>
        </w:rPr>
        <w:t>六</w:t>
      </w:r>
      <w:r>
        <w:rPr>
          <w:rFonts w:hint="eastAsia" w:ascii="仿宋_GB2312" w:hAnsi="仿宋_GB2312" w:eastAsia="仿宋_GB2312"/>
          <w:sz w:val="32"/>
          <w:szCs w:val="32"/>
        </w:rPr>
        <w:t>、其他未尽事宜，以有关法律、法规为准。</w:t>
      </w:r>
    </w:p>
    <w:p>
      <w:pPr>
        <w:pStyle w:val="47"/>
        <w:spacing w:line="560" w:lineRule="exact"/>
        <w:ind w:firstLine="618" w:firstLineChars="200"/>
        <w:jc w:val="right"/>
        <w:rPr>
          <w:rFonts w:hint="eastAsia" w:ascii="仿宋_GB2312" w:hAnsi="宋体" w:eastAsia="仿宋_GB2312" w:cs="仿宋_GB2312"/>
          <w:sz w:val="32"/>
          <w:szCs w:val="32"/>
        </w:rPr>
      </w:pPr>
    </w:p>
    <w:p>
      <w:pPr>
        <w:pStyle w:val="47"/>
        <w:spacing w:line="560" w:lineRule="exact"/>
        <w:ind w:firstLine="618" w:firstLineChars="200"/>
        <w:jc w:val="right"/>
        <w:rPr>
          <w:rFonts w:hint="eastAsia" w:ascii="仿宋_GB2312" w:hAnsi="宋体" w:eastAsia="仿宋_GB2312" w:cs="仿宋_GB2312"/>
          <w:sz w:val="32"/>
          <w:szCs w:val="32"/>
        </w:rPr>
      </w:pPr>
    </w:p>
    <w:p>
      <w:pPr>
        <w:pStyle w:val="47"/>
        <w:spacing w:line="560" w:lineRule="exact"/>
        <w:ind w:firstLine="618" w:firstLineChars="200"/>
        <w:jc w:val="right"/>
        <w:rPr>
          <w:rFonts w:ascii="仿宋_GB2312" w:hAnsi="宋体" w:eastAsia="仿宋_GB2312" w:cs="仿宋_GB2312"/>
          <w:sz w:val="32"/>
          <w:szCs w:val="32"/>
        </w:rPr>
      </w:pPr>
      <w:r>
        <w:rPr>
          <w:rFonts w:hint="eastAsia" w:ascii="仿宋_GB2312" w:hAnsi="宋体" w:eastAsia="仿宋_GB2312" w:cs="仿宋_GB2312"/>
          <w:sz w:val="32"/>
          <w:szCs w:val="32"/>
        </w:rPr>
        <w:t>云浮市生态环境局</w:t>
      </w:r>
    </w:p>
    <w:p>
      <w:pPr>
        <w:wordWrap w:val="0"/>
        <w:ind w:firstLine="652"/>
        <w:jc w:val="right"/>
        <w:rPr>
          <w:rFonts w:hint="eastAsia" w:ascii="仿宋_GB2312" w:hAnsi="宋体" w:eastAsia="仿宋_GB2312" w:cs="仿宋_GB2312"/>
          <w:sz w:val="32"/>
          <w:szCs w:val="32"/>
          <w:lang w:val="en-US" w:eastAsia="zh-CN"/>
        </w:rPr>
      </w:pPr>
      <w:r>
        <w:rPr>
          <w:rFonts w:ascii="仿宋_GB2312" w:hAnsi="宋体" w:eastAsia="仿宋_GB2312" w:cs="仿宋_GB2312"/>
          <w:sz w:val="32"/>
          <w:szCs w:val="32"/>
        </w:rPr>
        <w:t>20</w:t>
      </w:r>
      <w:r>
        <w:rPr>
          <w:rFonts w:hint="eastAsia" w:ascii="仿宋_GB2312" w:hAnsi="宋体" w:eastAsia="仿宋_GB2312" w:cs="仿宋_GB2312"/>
          <w:sz w:val="32"/>
          <w:szCs w:val="32"/>
        </w:rPr>
        <w:t>2</w:t>
      </w:r>
      <w:r>
        <w:rPr>
          <w:rFonts w:hint="eastAsia" w:ascii="仿宋_GB2312" w:hAnsi="宋体" w:eastAsia="仿宋_GB2312" w:cs="仿宋_GB2312"/>
          <w:sz w:val="32"/>
          <w:szCs w:val="32"/>
          <w:lang w:val="en-US" w:eastAsia="zh-CN"/>
        </w:rPr>
        <w:t>3</w:t>
      </w:r>
      <w:r>
        <w:rPr>
          <w:rFonts w:hint="eastAsia" w:ascii="仿宋_GB2312" w:hAnsi="宋体" w:eastAsia="仿宋_GB2312" w:cs="仿宋_GB2312"/>
          <w:sz w:val="32"/>
          <w:szCs w:val="32"/>
        </w:rPr>
        <w:t>年</w:t>
      </w:r>
      <w:r>
        <w:rPr>
          <w:rFonts w:hint="eastAsia" w:ascii="仿宋_GB2312" w:hAnsi="宋体" w:eastAsia="仿宋_GB2312" w:cs="仿宋_GB2312"/>
          <w:sz w:val="32"/>
          <w:szCs w:val="32"/>
          <w:lang w:val="en-US" w:eastAsia="zh-CN"/>
        </w:rPr>
        <w:t>6</w:t>
      </w:r>
      <w:r>
        <w:rPr>
          <w:rFonts w:hint="eastAsia" w:ascii="仿宋_GB2312" w:hAnsi="宋体" w:eastAsia="仿宋_GB2312" w:cs="仿宋_GB2312"/>
          <w:sz w:val="32"/>
          <w:szCs w:val="32"/>
        </w:rPr>
        <w:t>月</w:t>
      </w:r>
      <w:r>
        <w:rPr>
          <w:rFonts w:hint="eastAsia" w:ascii="仿宋_GB2312" w:hAnsi="宋体" w:eastAsia="仿宋_GB2312" w:cs="仿宋_GB2312"/>
          <w:sz w:val="32"/>
          <w:szCs w:val="32"/>
          <w:lang w:val="en-US" w:eastAsia="zh-CN"/>
        </w:rPr>
        <w:t>29日</w:t>
      </w:r>
    </w:p>
    <w:p>
      <w:pPr>
        <w:spacing w:line="560" w:lineRule="exact"/>
        <w:rPr>
          <w:rFonts w:ascii="仿宋" w:hAnsi="仿宋" w:eastAsia="仿宋"/>
          <w:sz w:val="32"/>
          <w:szCs w:val="32"/>
        </w:rPr>
      </w:pPr>
      <w:r>
        <w:rPr>
          <w:rFonts w:hint="eastAsia"/>
          <w:b/>
          <w:sz w:val="32"/>
          <w:szCs w:val="32"/>
        </w:rPr>
        <w:t>公开方式：</w:t>
      </w:r>
      <w:r>
        <w:rPr>
          <w:rFonts w:hint="eastAsia"/>
          <w:sz w:val="32"/>
          <w:szCs w:val="32"/>
        </w:rPr>
        <w:t>主动公开</w:t>
      </w:r>
    </w:p>
    <w:tbl>
      <w:tblPr>
        <w:tblStyle w:val="28"/>
        <w:tblW w:w="9288" w:type="dxa"/>
        <w:tblInd w:w="0" w:type="dxa"/>
        <w:tblBorders>
          <w:top w:val="none" w:color="auto" w:sz="0" w:space="0"/>
          <w:left w:val="none" w:color="auto" w:sz="0" w:space="0"/>
          <w:bottom w:val="none" w:color="auto" w:sz="0" w:space="0"/>
          <w:right w:val="none" w:color="auto" w:sz="0" w:space="0"/>
          <w:insideH w:val="single" w:color="auto" w:sz="8" w:space="0"/>
          <w:insideV w:val="none" w:color="auto" w:sz="0" w:space="0"/>
        </w:tblBorders>
        <w:tblLayout w:type="fixed"/>
        <w:tblCellMar>
          <w:top w:w="0" w:type="dxa"/>
          <w:left w:w="108" w:type="dxa"/>
          <w:bottom w:w="0" w:type="dxa"/>
          <w:right w:w="108" w:type="dxa"/>
        </w:tblCellMar>
      </w:tblPr>
      <w:tblGrid>
        <w:gridCol w:w="9288"/>
      </w:tblGrid>
      <w:tr>
        <w:tblPrEx>
          <w:tblBorders>
            <w:top w:val="none" w:color="auto" w:sz="0" w:space="0"/>
            <w:left w:val="none" w:color="auto" w:sz="0" w:space="0"/>
            <w:bottom w:val="none" w:color="auto" w:sz="0" w:space="0"/>
            <w:right w:val="none" w:color="auto" w:sz="0" w:space="0"/>
            <w:insideH w:val="single" w:color="auto" w:sz="8" w:space="0"/>
            <w:insideV w:val="none" w:color="auto" w:sz="0" w:space="0"/>
          </w:tblBorders>
          <w:tblCellMar>
            <w:top w:w="0" w:type="dxa"/>
            <w:left w:w="108" w:type="dxa"/>
            <w:bottom w:w="0" w:type="dxa"/>
            <w:right w:w="108" w:type="dxa"/>
          </w:tblCellMar>
        </w:tblPrEx>
        <w:trPr>
          <w:trHeight w:val="910" w:hRule="atLeast"/>
        </w:trPr>
        <w:tc>
          <w:tcPr>
            <w:tcW w:w="9288" w:type="dxa"/>
            <w:tcBorders>
              <w:top w:val="single" w:color="auto" w:sz="8" w:space="0"/>
              <w:bottom w:val="single" w:color="auto" w:sz="8" w:space="0"/>
            </w:tcBorders>
          </w:tcPr>
          <w:p>
            <w:pPr>
              <w:spacing w:line="560" w:lineRule="exact"/>
              <w:ind w:left="940" w:leftChars="67" w:hanging="807" w:hangingChars="300"/>
              <w:rPr>
                <w:rFonts w:hint="eastAsia" w:eastAsia="仿宋_GB2312"/>
                <w:sz w:val="28"/>
                <w:szCs w:val="28"/>
                <w:lang w:eastAsia="zh-CN"/>
              </w:rPr>
            </w:pPr>
            <w:r>
              <w:rPr>
                <w:rFonts w:eastAsia="仿宋_GB2312"/>
                <w:sz w:val="28"/>
                <w:szCs w:val="28"/>
              </w:rPr>
              <w:t>抄</w:t>
            </w:r>
            <w:r>
              <w:rPr>
                <w:rFonts w:hint="eastAsia" w:eastAsia="仿宋_GB2312"/>
                <w:sz w:val="28"/>
                <w:szCs w:val="28"/>
                <w:lang w:eastAsia="zh-CN"/>
              </w:rPr>
              <w:t>报</w:t>
            </w:r>
            <w:r>
              <w:rPr>
                <w:rFonts w:eastAsia="仿宋_GB2312"/>
                <w:sz w:val="28"/>
                <w:szCs w:val="28"/>
              </w:rPr>
              <w:t>：</w:t>
            </w:r>
            <w:r>
              <w:rPr>
                <w:rFonts w:hint="eastAsia" w:eastAsia="仿宋_GB2312"/>
                <w:sz w:val="28"/>
                <w:szCs w:val="28"/>
                <w:lang w:eastAsia="zh-CN"/>
              </w:rPr>
              <w:t>云浮市生态环境局</w:t>
            </w:r>
          </w:p>
          <w:p>
            <w:pPr>
              <w:spacing w:line="560" w:lineRule="exact"/>
              <w:ind w:left="940" w:leftChars="67" w:hanging="807" w:hangingChars="300"/>
              <w:rPr>
                <w:rFonts w:hint="eastAsia" w:eastAsia="仿宋_GB2312"/>
                <w:sz w:val="28"/>
                <w:szCs w:val="28"/>
                <w:lang w:eastAsia="zh-CN"/>
              </w:rPr>
            </w:pPr>
            <w:r>
              <w:rPr>
                <w:rFonts w:hint="eastAsia" w:eastAsia="仿宋_GB2312"/>
                <w:sz w:val="28"/>
                <w:szCs w:val="28"/>
                <w:lang w:eastAsia="zh-CN"/>
              </w:rPr>
              <w:t>抄送：</w:t>
            </w:r>
            <w:r>
              <w:rPr>
                <w:rFonts w:hint="eastAsia" w:eastAsia="仿宋_GB2312"/>
                <w:sz w:val="28"/>
                <w:szCs w:val="28"/>
              </w:rPr>
              <w:t>云浮市生态环境局郁南分局</w:t>
            </w:r>
            <w:r>
              <w:rPr>
                <w:rFonts w:hint="eastAsia" w:eastAsia="仿宋_GB2312"/>
                <w:sz w:val="28"/>
                <w:szCs w:val="28"/>
                <w:lang w:eastAsia="zh-CN"/>
              </w:rPr>
              <w:t>执法大队、广东粤环生态环境有限公司</w:t>
            </w:r>
          </w:p>
        </w:tc>
      </w:tr>
      <w:tr>
        <w:tblPrEx>
          <w:tblBorders>
            <w:top w:val="none" w:color="auto" w:sz="0" w:space="0"/>
            <w:left w:val="none" w:color="auto" w:sz="0" w:space="0"/>
            <w:bottom w:val="none" w:color="auto" w:sz="0" w:space="0"/>
            <w:right w:val="none" w:color="auto" w:sz="0" w:space="0"/>
            <w:insideH w:val="single" w:color="auto" w:sz="8" w:space="0"/>
            <w:insideV w:val="none" w:color="auto" w:sz="0" w:space="0"/>
          </w:tblBorders>
          <w:tblCellMar>
            <w:top w:w="0" w:type="dxa"/>
            <w:left w:w="108" w:type="dxa"/>
            <w:bottom w:w="0" w:type="dxa"/>
            <w:right w:w="108" w:type="dxa"/>
          </w:tblCellMar>
        </w:tblPrEx>
        <w:trPr>
          <w:trHeight w:val="321" w:hRule="atLeast"/>
        </w:trPr>
        <w:tc>
          <w:tcPr>
            <w:tcW w:w="9288" w:type="dxa"/>
            <w:tcBorders>
              <w:top w:val="single" w:color="auto" w:sz="8" w:space="0"/>
              <w:bottom w:val="single" w:color="auto" w:sz="8" w:space="0"/>
            </w:tcBorders>
          </w:tcPr>
          <w:p>
            <w:pPr>
              <w:spacing w:line="560" w:lineRule="exact"/>
              <w:ind w:left="940" w:leftChars="67" w:hanging="807" w:hangingChars="300"/>
              <w:rPr>
                <w:rFonts w:eastAsia="仿宋_GB2312"/>
                <w:sz w:val="28"/>
                <w:szCs w:val="28"/>
              </w:rPr>
            </w:pPr>
            <w:r>
              <w:rPr>
                <w:rFonts w:hint="eastAsia" w:eastAsia="仿宋_GB2312"/>
                <w:sz w:val="28"/>
                <w:szCs w:val="28"/>
              </w:rPr>
              <w:t>云浮市生态环境局</w:t>
            </w:r>
            <w:r>
              <w:rPr>
                <w:rFonts w:hint="eastAsia" w:eastAsia="仿宋_GB2312"/>
                <w:sz w:val="28"/>
                <w:szCs w:val="28"/>
                <w:lang w:eastAsia="zh-CN"/>
              </w:rPr>
              <w:t>郁南分局</w:t>
            </w:r>
            <w:r>
              <w:rPr>
                <w:rFonts w:hint="eastAsia" w:eastAsia="仿宋_GB2312"/>
                <w:sz w:val="28"/>
                <w:szCs w:val="28"/>
              </w:rPr>
              <w:t xml:space="preserve">办公室       </w:t>
            </w:r>
            <w:r>
              <w:rPr>
                <w:rFonts w:hint="eastAsia" w:eastAsia="仿宋_GB2312"/>
                <w:sz w:val="28"/>
                <w:szCs w:val="28"/>
                <w:lang w:val="en-US" w:eastAsia="zh-CN"/>
              </w:rPr>
              <w:t xml:space="preserve">       </w:t>
            </w:r>
            <w:r>
              <w:rPr>
                <w:rFonts w:hint="eastAsia" w:eastAsia="仿宋_GB2312"/>
                <w:sz w:val="28"/>
                <w:szCs w:val="28"/>
              </w:rPr>
              <w:t xml:space="preserve">   </w:t>
            </w:r>
            <w:r>
              <w:rPr>
                <w:rFonts w:hint="eastAsia" w:ascii="仿宋_GB2312" w:hAnsi="宋体" w:eastAsia="仿宋_GB2312" w:cs="仿宋_GB2312"/>
                <w:sz w:val="28"/>
                <w:szCs w:val="28"/>
              </w:rPr>
              <w:t>202</w:t>
            </w:r>
            <w:r>
              <w:rPr>
                <w:rFonts w:hint="eastAsia" w:ascii="仿宋_GB2312" w:hAnsi="宋体" w:eastAsia="仿宋_GB2312" w:cs="仿宋_GB2312"/>
                <w:sz w:val="28"/>
                <w:szCs w:val="28"/>
                <w:lang w:val="en-US" w:eastAsia="zh-CN"/>
              </w:rPr>
              <w:t>3</w:t>
            </w:r>
            <w:r>
              <w:rPr>
                <w:rFonts w:hint="eastAsia" w:ascii="仿宋_GB2312" w:hAnsi="宋体" w:eastAsia="仿宋_GB2312" w:cs="仿宋_GB2312"/>
                <w:sz w:val="28"/>
                <w:szCs w:val="28"/>
              </w:rPr>
              <w:t>年</w:t>
            </w:r>
            <w:r>
              <w:rPr>
                <w:rFonts w:hint="eastAsia" w:ascii="仿宋_GB2312" w:hAnsi="宋体" w:eastAsia="仿宋_GB2312" w:cs="仿宋_GB2312"/>
                <w:sz w:val="28"/>
                <w:szCs w:val="28"/>
                <w:lang w:val="en-US" w:eastAsia="zh-CN"/>
              </w:rPr>
              <w:t>6</w:t>
            </w:r>
            <w:r>
              <w:rPr>
                <w:rFonts w:hint="eastAsia" w:ascii="仿宋_GB2312" w:hAnsi="宋体" w:eastAsia="仿宋_GB2312" w:cs="仿宋_GB2312"/>
                <w:sz w:val="28"/>
                <w:szCs w:val="28"/>
              </w:rPr>
              <w:t>月</w:t>
            </w:r>
            <w:r>
              <w:rPr>
                <w:rFonts w:hint="eastAsia" w:ascii="仿宋_GB2312" w:hAnsi="宋体" w:eastAsia="仿宋_GB2312" w:cs="仿宋_GB2312"/>
                <w:sz w:val="28"/>
                <w:szCs w:val="28"/>
                <w:lang w:val="en-US" w:eastAsia="zh-CN"/>
              </w:rPr>
              <w:t>29</w:t>
            </w:r>
            <w:r>
              <w:rPr>
                <w:rFonts w:hint="eastAsia" w:ascii="仿宋_GB2312" w:hAnsi="宋体" w:eastAsia="仿宋_GB2312" w:cs="仿宋_GB2312"/>
                <w:sz w:val="28"/>
                <w:szCs w:val="28"/>
              </w:rPr>
              <w:t>日印发</w:t>
            </w:r>
          </w:p>
        </w:tc>
      </w:tr>
    </w:tbl>
    <w:p>
      <w:pPr>
        <w:spacing w:line="560" w:lineRule="exact"/>
        <w:rPr>
          <w:rFonts w:ascii="仿宋" w:hAnsi="仿宋" w:eastAsia="仿宋"/>
          <w:sz w:val="32"/>
          <w:szCs w:val="32"/>
        </w:rPr>
      </w:pPr>
    </w:p>
    <w:sectPr>
      <w:footerReference r:id="rId3" w:type="default"/>
      <w:footerReference r:id="rId4" w:type="even"/>
      <w:pgSz w:w="11906" w:h="16838"/>
      <w:pgMar w:top="2098" w:right="1588" w:bottom="1985" w:left="1588" w:header="851" w:footer="1588" w:gutter="0"/>
      <w:cols w:space="425" w:num="1"/>
      <w:docGrid w:type="linesAndChars" w:linePitch="579" w:charSpace="-237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1"/>
    <w:family w:val="auto"/>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楷体_GB2312">
    <w:panose1 w:val="02010609030101010101"/>
    <w:charset w:val="86"/>
    <w:family w:val="modern"/>
    <w:pitch w:val="default"/>
    <w:sig w:usb0="00000001" w:usb1="080E0000" w:usb2="00000000" w:usb3="00000000" w:csb0="00040000" w:csb1="00000000"/>
  </w:font>
  <w:font w:name="等线">
    <w:altName w:val="Arial Unicode MS"/>
    <w:panose1 w:val="02010600030101010101"/>
    <w:charset w:val="86"/>
    <w:family w:val="auto"/>
    <w:pitch w:val="default"/>
    <w:sig w:usb0="00000000" w:usb1="00000000" w:usb2="00000016" w:usb3="00000000" w:csb0="0004000F" w:csb1="00000000"/>
  </w:font>
  <w:font w:name="TimesNewRomanPSMT">
    <w:altName w:val="Times New Roman"/>
    <w:panose1 w:val="00000000000000000000"/>
    <w:charset w:val="00"/>
    <w:family w:val="auto"/>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227884503"/>
      <w:docPartObj>
        <w:docPartGallery w:val="autotext"/>
      </w:docPartObj>
    </w:sdtPr>
    <w:sdtEndPr>
      <w:rPr>
        <w:lang w:val="zh-CN"/>
      </w:rPr>
    </w:sdtEndPr>
    <w:sdtContent>
      <w:p>
        <w:pPr>
          <w:pStyle w:val="24"/>
          <w:jc w:val="right"/>
        </w:pP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 PAGE   \* MERGEFORMAT </w:instrText>
        </w:r>
        <w:r>
          <w:rPr>
            <w:rFonts w:ascii="宋体" w:hAnsi="宋体" w:eastAsia="宋体"/>
            <w:sz w:val="28"/>
            <w:szCs w:val="28"/>
          </w:rPr>
          <w:fldChar w:fldCharType="separate"/>
        </w:r>
        <w:r>
          <w:rPr>
            <w:rFonts w:ascii="宋体" w:hAnsi="宋体" w:eastAsia="宋体"/>
            <w:sz w:val="28"/>
            <w:szCs w:val="28"/>
            <w:lang w:val="zh-CN"/>
          </w:rPr>
          <w:t>3</w:t>
        </w:r>
        <w:r>
          <w:rPr>
            <w:rFonts w:ascii="宋体" w:hAnsi="宋体" w:eastAsia="宋体"/>
            <w:sz w:val="28"/>
            <w:szCs w:val="28"/>
            <w:lang w:val="zh-CN"/>
          </w:rPr>
          <w:fldChar w:fldCharType="end"/>
        </w:r>
        <w:r>
          <w:rPr>
            <w:rFonts w:hint="eastAsia" w:ascii="宋体" w:hAnsi="宋体" w:eastAsia="宋体"/>
            <w:sz w:val="28"/>
            <w:szCs w:val="28"/>
            <w:lang w:val="zh-CN"/>
          </w:rPr>
          <w:t>—</w:t>
        </w:r>
      </w:p>
    </w:sdtContent>
  </w:sdt>
  <w:p>
    <w:pPr>
      <w:pStyle w:val="2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ind w:right="420"/>
      <w:rPr>
        <w:lang w:val="zh-CN"/>
      </w:rPr>
    </w:pP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 PAGE   \* MERGEFORMAT </w:instrText>
    </w:r>
    <w:r>
      <w:rPr>
        <w:rFonts w:ascii="宋体" w:hAnsi="宋体" w:eastAsia="宋体"/>
        <w:sz w:val="28"/>
        <w:szCs w:val="28"/>
      </w:rPr>
      <w:fldChar w:fldCharType="separate"/>
    </w:r>
    <w:r>
      <w:rPr>
        <w:rFonts w:ascii="宋体" w:hAnsi="宋体" w:eastAsia="宋体"/>
        <w:sz w:val="28"/>
        <w:szCs w:val="28"/>
        <w:lang w:val="zh-CN"/>
      </w:rPr>
      <w:t>2</w:t>
    </w:r>
    <w:r>
      <w:rPr>
        <w:rFonts w:ascii="宋体" w:hAnsi="宋体" w:eastAsia="宋体"/>
        <w:sz w:val="28"/>
        <w:szCs w:val="28"/>
        <w:lang w:val="zh-CN"/>
      </w:rPr>
      <w:fldChar w:fldCharType="end"/>
    </w:r>
    <w:r>
      <w:rPr>
        <w:rFonts w:hint="eastAsia" w:ascii="宋体" w:hAnsi="宋体" w:eastAsia="宋体"/>
        <w:sz w:val="28"/>
        <w:szCs w:val="28"/>
        <w:lang w:val="zh-CN"/>
      </w:rPr>
      <w:t>—</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2677B53"/>
    <w:multiLevelType w:val="singleLevel"/>
    <w:tmpl w:val="F2677B53"/>
    <w:lvl w:ilvl="0" w:tentative="0">
      <w:start w:val="1"/>
      <w:numFmt w:val="chineseCounting"/>
      <w:suff w:val="nothing"/>
      <w:lvlText w:val="%1、"/>
      <w:lvlJc w:val="left"/>
      <w:rPr>
        <w:rFonts w:hint="eastAsia"/>
      </w:rPr>
    </w:lvl>
  </w:abstractNum>
  <w:abstractNum w:abstractNumId="1">
    <w:nsid w:val="02E65B1A"/>
    <w:multiLevelType w:val="singleLevel"/>
    <w:tmpl w:val="02E65B1A"/>
    <w:lvl w:ilvl="0" w:tentative="0">
      <w:start w:val="1"/>
      <w:numFmt w:val="bullet"/>
      <w:pStyle w:val="13"/>
      <w:lvlText w:val=""/>
      <w:lvlJc w:val="left"/>
      <w:pPr>
        <w:tabs>
          <w:tab w:val="left" w:pos="2040"/>
        </w:tabs>
        <w:ind w:left="2040" w:hanging="360"/>
      </w:pPr>
      <w:rPr>
        <w:rFonts w:hint="default" w:ascii="Wingdings" w:hAnsi="Wingdings"/>
      </w:rPr>
    </w:lvl>
  </w:abstractNum>
  <w:abstractNum w:abstractNumId="2">
    <w:nsid w:val="38AFCEC3"/>
    <w:multiLevelType w:val="singleLevel"/>
    <w:tmpl w:val="38AFCEC3"/>
    <w:lvl w:ilvl="0" w:tentative="0">
      <w:start w:val="1"/>
      <w:numFmt w:val="bullet"/>
      <w:pStyle w:val="16"/>
      <w:lvlText w:val=""/>
      <w:lvlJc w:val="left"/>
      <w:pPr>
        <w:tabs>
          <w:tab w:val="left" w:pos="780"/>
        </w:tabs>
        <w:ind w:left="780" w:hanging="360"/>
      </w:pPr>
      <w:rPr>
        <w:rFonts w:hint="default" w:ascii="Wingdings" w:hAnsi="Wingdings"/>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evenAndOddHeaders w:val="1"/>
  <w:drawingGridHorizontalSpacing w:val="99"/>
  <w:drawingGridVerticalSpacing w:val="57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czODU1OThjMjEyMWViNWY2MWE2NmZiNGIwYzNmNjMifQ=="/>
  </w:docVars>
  <w:rsids>
    <w:rsidRoot w:val="007018B2"/>
    <w:rsid w:val="0000337B"/>
    <w:rsid w:val="0000696D"/>
    <w:rsid w:val="0001071F"/>
    <w:rsid w:val="000168BD"/>
    <w:rsid w:val="00017675"/>
    <w:rsid w:val="00017B2A"/>
    <w:rsid w:val="0002168C"/>
    <w:rsid w:val="00055B0B"/>
    <w:rsid w:val="00060A28"/>
    <w:rsid w:val="00085B99"/>
    <w:rsid w:val="00087FB3"/>
    <w:rsid w:val="000D2499"/>
    <w:rsid w:val="000E50FB"/>
    <w:rsid w:val="000E7DC4"/>
    <w:rsid w:val="00100BD6"/>
    <w:rsid w:val="0010158A"/>
    <w:rsid w:val="00101A3F"/>
    <w:rsid w:val="001026CA"/>
    <w:rsid w:val="001151B5"/>
    <w:rsid w:val="00124159"/>
    <w:rsid w:val="00142605"/>
    <w:rsid w:val="001524E5"/>
    <w:rsid w:val="001659F1"/>
    <w:rsid w:val="00174D22"/>
    <w:rsid w:val="00175F06"/>
    <w:rsid w:val="0017704E"/>
    <w:rsid w:val="00182BD7"/>
    <w:rsid w:val="001831D2"/>
    <w:rsid w:val="00183696"/>
    <w:rsid w:val="00190E6E"/>
    <w:rsid w:val="0019512E"/>
    <w:rsid w:val="001A12AE"/>
    <w:rsid w:val="001C0EC5"/>
    <w:rsid w:val="001C3DEB"/>
    <w:rsid w:val="001D7EF0"/>
    <w:rsid w:val="001E08DC"/>
    <w:rsid w:val="001E5560"/>
    <w:rsid w:val="001E7934"/>
    <w:rsid w:val="001F3DED"/>
    <w:rsid w:val="00205800"/>
    <w:rsid w:val="00213E49"/>
    <w:rsid w:val="00215BFC"/>
    <w:rsid w:val="00224B19"/>
    <w:rsid w:val="00272C69"/>
    <w:rsid w:val="00276271"/>
    <w:rsid w:val="002814C9"/>
    <w:rsid w:val="00292CC5"/>
    <w:rsid w:val="002A23A0"/>
    <w:rsid w:val="002A3D10"/>
    <w:rsid w:val="002D227E"/>
    <w:rsid w:val="002E5B2F"/>
    <w:rsid w:val="002F195B"/>
    <w:rsid w:val="002F1D9C"/>
    <w:rsid w:val="002F35F3"/>
    <w:rsid w:val="002F5F92"/>
    <w:rsid w:val="0030016F"/>
    <w:rsid w:val="0034427E"/>
    <w:rsid w:val="00357A09"/>
    <w:rsid w:val="003701B7"/>
    <w:rsid w:val="00370A2F"/>
    <w:rsid w:val="003A6683"/>
    <w:rsid w:val="003B4C70"/>
    <w:rsid w:val="003C06EA"/>
    <w:rsid w:val="003C16EE"/>
    <w:rsid w:val="003D0771"/>
    <w:rsid w:val="003E59C9"/>
    <w:rsid w:val="003F111B"/>
    <w:rsid w:val="003F7AEF"/>
    <w:rsid w:val="003F7F9C"/>
    <w:rsid w:val="0041267F"/>
    <w:rsid w:val="00430473"/>
    <w:rsid w:val="004336C1"/>
    <w:rsid w:val="00435FE2"/>
    <w:rsid w:val="0045087E"/>
    <w:rsid w:val="0046537F"/>
    <w:rsid w:val="004657AE"/>
    <w:rsid w:val="004820A6"/>
    <w:rsid w:val="00486728"/>
    <w:rsid w:val="004B2333"/>
    <w:rsid w:val="004E0EB6"/>
    <w:rsid w:val="004E261E"/>
    <w:rsid w:val="004E5A28"/>
    <w:rsid w:val="004E63AA"/>
    <w:rsid w:val="004F7CF8"/>
    <w:rsid w:val="00500926"/>
    <w:rsid w:val="0052278E"/>
    <w:rsid w:val="00527AB5"/>
    <w:rsid w:val="00535B89"/>
    <w:rsid w:val="00542ED4"/>
    <w:rsid w:val="00543831"/>
    <w:rsid w:val="00550DEB"/>
    <w:rsid w:val="00572A61"/>
    <w:rsid w:val="0058695E"/>
    <w:rsid w:val="005B1A21"/>
    <w:rsid w:val="005B4AC4"/>
    <w:rsid w:val="005C7456"/>
    <w:rsid w:val="005E025A"/>
    <w:rsid w:val="005E22DB"/>
    <w:rsid w:val="005F6233"/>
    <w:rsid w:val="006166CD"/>
    <w:rsid w:val="00626C76"/>
    <w:rsid w:val="00632162"/>
    <w:rsid w:val="006427CC"/>
    <w:rsid w:val="00642DCE"/>
    <w:rsid w:val="00644626"/>
    <w:rsid w:val="00645190"/>
    <w:rsid w:val="00650902"/>
    <w:rsid w:val="00655A5E"/>
    <w:rsid w:val="0065604D"/>
    <w:rsid w:val="00661CAB"/>
    <w:rsid w:val="006727F0"/>
    <w:rsid w:val="00683C3A"/>
    <w:rsid w:val="0069244B"/>
    <w:rsid w:val="00695F25"/>
    <w:rsid w:val="006A6999"/>
    <w:rsid w:val="006B29E5"/>
    <w:rsid w:val="006B6218"/>
    <w:rsid w:val="006C6FB1"/>
    <w:rsid w:val="006D1D38"/>
    <w:rsid w:val="006D2877"/>
    <w:rsid w:val="006E3F38"/>
    <w:rsid w:val="006F17B1"/>
    <w:rsid w:val="007018B2"/>
    <w:rsid w:val="007066C7"/>
    <w:rsid w:val="00713217"/>
    <w:rsid w:val="00713BC3"/>
    <w:rsid w:val="007261CA"/>
    <w:rsid w:val="0073126F"/>
    <w:rsid w:val="007331A3"/>
    <w:rsid w:val="00743053"/>
    <w:rsid w:val="00746DE1"/>
    <w:rsid w:val="0076178E"/>
    <w:rsid w:val="00781CDC"/>
    <w:rsid w:val="00786A70"/>
    <w:rsid w:val="007B7E9F"/>
    <w:rsid w:val="007D4616"/>
    <w:rsid w:val="007D6CE7"/>
    <w:rsid w:val="007E45E4"/>
    <w:rsid w:val="007E5CA7"/>
    <w:rsid w:val="007F2632"/>
    <w:rsid w:val="007F378E"/>
    <w:rsid w:val="00802E5F"/>
    <w:rsid w:val="00810530"/>
    <w:rsid w:val="00837F2D"/>
    <w:rsid w:val="00841BF6"/>
    <w:rsid w:val="0084408A"/>
    <w:rsid w:val="00846FE5"/>
    <w:rsid w:val="008568E1"/>
    <w:rsid w:val="00867B49"/>
    <w:rsid w:val="0087326F"/>
    <w:rsid w:val="00887EA1"/>
    <w:rsid w:val="00896E6A"/>
    <w:rsid w:val="008A0926"/>
    <w:rsid w:val="008A0E15"/>
    <w:rsid w:val="008C23A2"/>
    <w:rsid w:val="008D7B2D"/>
    <w:rsid w:val="008F7E94"/>
    <w:rsid w:val="00901A6D"/>
    <w:rsid w:val="00916D83"/>
    <w:rsid w:val="009262BF"/>
    <w:rsid w:val="00947153"/>
    <w:rsid w:val="009534A2"/>
    <w:rsid w:val="00972245"/>
    <w:rsid w:val="009742FE"/>
    <w:rsid w:val="009746AB"/>
    <w:rsid w:val="0098013A"/>
    <w:rsid w:val="009821E2"/>
    <w:rsid w:val="00982FA8"/>
    <w:rsid w:val="00994B8F"/>
    <w:rsid w:val="00996597"/>
    <w:rsid w:val="009A24DF"/>
    <w:rsid w:val="009B2ADB"/>
    <w:rsid w:val="009B2F86"/>
    <w:rsid w:val="009B3902"/>
    <w:rsid w:val="009B4374"/>
    <w:rsid w:val="009B6917"/>
    <w:rsid w:val="009C4C84"/>
    <w:rsid w:val="009C5E12"/>
    <w:rsid w:val="009D56BE"/>
    <w:rsid w:val="009D7CFF"/>
    <w:rsid w:val="009D7FF2"/>
    <w:rsid w:val="009E49BB"/>
    <w:rsid w:val="00A15D48"/>
    <w:rsid w:val="00A33522"/>
    <w:rsid w:val="00A36FB5"/>
    <w:rsid w:val="00A43F2C"/>
    <w:rsid w:val="00A442A4"/>
    <w:rsid w:val="00A53CFF"/>
    <w:rsid w:val="00A739CC"/>
    <w:rsid w:val="00A81C24"/>
    <w:rsid w:val="00A83326"/>
    <w:rsid w:val="00A92073"/>
    <w:rsid w:val="00AB04FA"/>
    <w:rsid w:val="00AB1D61"/>
    <w:rsid w:val="00AB354F"/>
    <w:rsid w:val="00AB5933"/>
    <w:rsid w:val="00AC324D"/>
    <w:rsid w:val="00AC4190"/>
    <w:rsid w:val="00AD19BF"/>
    <w:rsid w:val="00AF0F88"/>
    <w:rsid w:val="00B04C94"/>
    <w:rsid w:val="00B05C00"/>
    <w:rsid w:val="00B23175"/>
    <w:rsid w:val="00B442CC"/>
    <w:rsid w:val="00B55D70"/>
    <w:rsid w:val="00B61E39"/>
    <w:rsid w:val="00B74259"/>
    <w:rsid w:val="00B77256"/>
    <w:rsid w:val="00B87148"/>
    <w:rsid w:val="00BB1F61"/>
    <w:rsid w:val="00BC3597"/>
    <w:rsid w:val="00C04C05"/>
    <w:rsid w:val="00C21661"/>
    <w:rsid w:val="00C22186"/>
    <w:rsid w:val="00C22670"/>
    <w:rsid w:val="00C228EB"/>
    <w:rsid w:val="00C30697"/>
    <w:rsid w:val="00C31C70"/>
    <w:rsid w:val="00C406C7"/>
    <w:rsid w:val="00C473CB"/>
    <w:rsid w:val="00C5479F"/>
    <w:rsid w:val="00C56E7F"/>
    <w:rsid w:val="00C61832"/>
    <w:rsid w:val="00C72CB8"/>
    <w:rsid w:val="00C87475"/>
    <w:rsid w:val="00C94475"/>
    <w:rsid w:val="00C95DC1"/>
    <w:rsid w:val="00CA3374"/>
    <w:rsid w:val="00CA4A02"/>
    <w:rsid w:val="00CA5768"/>
    <w:rsid w:val="00CB5B09"/>
    <w:rsid w:val="00CC377D"/>
    <w:rsid w:val="00CC5E43"/>
    <w:rsid w:val="00CE5F98"/>
    <w:rsid w:val="00CF4F2E"/>
    <w:rsid w:val="00D035BE"/>
    <w:rsid w:val="00D03F64"/>
    <w:rsid w:val="00D0748B"/>
    <w:rsid w:val="00D10BC6"/>
    <w:rsid w:val="00D20522"/>
    <w:rsid w:val="00D24F59"/>
    <w:rsid w:val="00D456CB"/>
    <w:rsid w:val="00D5113E"/>
    <w:rsid w:val="00D570E5"/>
    <w:rsid w:val="00D62FB9"/>
    <w:rsid w:val="00D64321"/>
    <w:rsid w:val="00D763A6"/>
    <w:rsid w:val="00D81BA9"/>
    <w:rsid w:val="00D844DE"/>
    <w:rsid w:val="00D852BF"/>
    <w:rsid w:val="00DC17C7"/>
    <w:rsid w:val="00DC40F4"/>
    <w:rsid w:val="00DD1B6E"/>
    <w:rsid w:val="00DD3D0A"/>
    <w:rsid w:val="00DD4152"/>
    <w:rsid w:val="00DD5CD2"/>
    <w:rsid w:val="00E05EB2"/>
    <w:rsid w:val="00E14600"/>
    <w:rsid w:val="00E16F27"/>
    <w:rsid w:val="00E31768"/>
    <w:rsid w:val="00E544B6"/>
    <w:rsid w:val="00E55542"/>
    <w:rsid w:val="00E57768"/>
    <w:rsid w:val="00E57B95"/>
    <w:rsid w:val="00E6218D"/>
    <w:rsid w:val="00E6250B"/>
    <w:rsid w:val="00E63897"/>
    <w:rsid w:val="00E72049"/>
    <w:rsid w:val="00E76311"/>
    <w:rsid w:val="00E85229"/>
    <w:rsid w:val="00E86023"/>
    <w:rsid w:val="00E900F1"/>
    <w:rsid w:val="00E9214F"/>
    <w:rsid w:val="00F04DE7"/>
    <w:rsid w:val="00F20573"/>
    <w:rsid w:val="00F24981"/>
    <w:rsid w:val="00F3196E"/>
    <w:rsid w:val="00F45C3B"/>
    <w:rsid w:val="00F471E9"/>
    <w:rsid w:val="00F5351C"/>
    <w:rsid w:val="00F6009A"/>
    <w:rsid w:val="00F635FD"/>
    <w:rsid w:val="00F73834"/>
    <w:rsid w:val="00F86A61"/>
    <w:rsid w:val="00F948B6"/>
    <w:rsid w:val="00FA26D0"/>
    <w:rsid w:val="00FB1999"/>
    <w:rsid w:val="00FB2A77"/>
    <w:rsid w:val="00FB3423"/>
    <w:rsid w:val="00FB4D22"/>
    <w:rsid w:val="00FC34ED"/>
    <w:rsid w:val="00FC3571"/>
    <w:rsid w:val="00FC54D0"/>
    <w:rsid w:val="00FD2FB5"/>
    <w:rsid w:val="00FD67D9"/>
    <w:rsid w:val="00FE33BB"/>
    <w:rsid w:val="00FE7807"/>
    <w:rsid w:val="00FF1E29"/>
    <w:rsid w:val="08FC797C"/>
    <w:rsid w:val="0DD93A8D"/>
    <w:rsid w:val="10390BE8"/>
    <w:rsid w:val="115B6D04"/>
    <w:rsid w:val="131D0B7D"/>
    <w:rsid w:val="152A52A8"/>
    <w:rsid w:val="1BB12C0A"/>
    <w:rsid w:val="1D9F4047"/>
    <w:rsid w:val="2073362B"/>
    <w:rsid w:val="207B66B3"/>
    <w:rsid w:val="21C2063F"/>
    <w:rsid w:val="22C73E50"/>
    <w:rsid w:val="26B10B3C"/>
    <w:rsid w:val="272B000B"/>
    <w:rsid w:val="2732279D"/>
    <w:rsid w:val="2A1A3523"/>
    <w:rsid w:val="2B1C6CE5"/>
    <w:rsid w:val="2C900303"/>
    <w:rsid w:val="2DEF42D9"/>
    <w:rsid w:val="33EE7D56"/>
    <w:rsid w:val="36FF38B1"/>
    <w:rsid w:val="377823C0"/>
    <w:rsid w:val="39C96289"/>
    <w:rsid w:val="3B0F1D00"/>
    <w:rsid w:val="3CFE05B6"/>
    <w:rsid w:val="3E452E82"/>
    <w:rsid w:val="3ECC03C7"/>
    <w:rsid w:val="3F593C0C"/>
    <w:rsid w:val="42384272"/>
    <w:rsid w:val="432902D2"/>
    <w:rsid w:val="43471678"/>
    <w:rsid w:val="43C95E83"/>
    <w:rsid w:val="462F5496"/>
    <w:rsid w:val="46420E9F"/>
    <w:rsid w:val="464C2236"/>
    <w:rsid w:val="4668069A"/>
    <w:rsid w:val="48AA029F"/>
    <w:rsid w:val="4B595B0C"/>
    <w:rsid w:val="4C2F6420"/>
    <w:rsid w:val="4C377AEE"/>
    <w:rsid w:val="4C3C08E4"/>
    <w:rsid w:val="4C9E43F2"/>
    <w:rsid w:val="4CA27B6A"/>
    <w:rsid w:val="4D2C25E2"/>
    <w:rsid w:val="4E900F23"/>
    <w:rsid w:val="4EB24D70"/>
    <w:rsid w:val="4F242BD6"/>
    <w:rsid w:val="4FDD11EC"/>
    <w:rsid w:val="521B56E4"/>
    <w:rsid w:val="540D6A1F"/>
    <w:rsid w:val="5699372D"/>
    <w:rsid w:val="5F3C5659"/>
    <w:rsid w:val="601576CB"/>
    <w:rsid w:val="615B513E"/>
    <w:rsid w:val="61A23E04"/>
    <w:rsid w:val="6352125E"/>
    <w:rsid w:val="641C601F"/>
    <w:rsid w:val="64CB5CC0"/>
    <w:rsid w:val="656859A9"/>
    <w:rsid w:val="67342184"/>
    <w:rsid w:val="67393D46"/>
    <w:rsid w:val="67834372"/>
    <w:rsid w:val="6BDD0DCB"/>
    <w:rsid w:val="6C045A1E"/>
    <w:rsid w:val="6CB06CB1"/>
    <w:rsid w:val="6D54763D"/>
    <w:rsid w:val="6D612186"/>
    <w:rsid w:val="6E025B18"/>
    <w:rsid w:val="6EF451B8"/>
    <w:rsid w:val="6EF90EF2"/>
    <w:rsid w:val="7098520A"/>
    <w:rsid w:val="71E8184A"/>
    <w:rsid w:val="72633795"/>
    <w:rsid w:val="73101E81"/>
    <w:rsid w:val="738C4607"/>
    <w:rsid w:val="749B427A"/>
    <w:rsid w:val="74C12F08"/>
    <w:rsid w:val="74C71564"/>
    <w:rsid w:val="75577A24"/>
    <w:rsid w:val="75FB0851"/>
    <w:rsid w:val="7AC51161"/>
    <w:rsid w:val="7BAE713A"/>
    <w:rsid w:val="7C932892"/>
    <w:rsid w:val="7D2337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qFormat="1" w:unhideWhenUsed="0" w:uiPriority="0"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uiPriority="99" w:name="List 2"/>
    <w:lsdException w:qFormat="1" w:unhideWhenUsed="0" w:uiPriority="0" w:semiHidden="0" w:name="List 3"/>
    <w:lsdException w:uiPriority="99" w:name="List 4"/>
    <w:lsdException w:uiPriority="99" w:name="List 5"/>
    <w:lsdException w:qFormat="1" w:uiPriority="99" w:name="List Bullet 2"/>
    <w:lsdException w:uiPriority="99" w:name="List Bullet 3"/>
    <w:lsdException w:uiPriority="99" w:name="List Bullet 4"/>
    <w:lsdException w:qFormat="1"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qFormat="1" w:unhideWhenUsed="0" w:uiPriority="99"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name="Plain Text"/>
    <w:lsdException w:qFormat="1" w:unhideWhenUsed="0" w:uiPriority="0" w:semiHidden="0"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5">
    <w:name w:val="heading 1"/>
    <w:basedOn w:val="1"/>
    <w:next w:val="1"/>
    <w:qFormat/>
    <w:uiPriority w:val="0"/>
    <w:pPr>
      <w:keepNext/>
      <w:widowControl w:val="0"/>
      <w:spacing w:line="360" w:lineRule="auto"/>
      <w:jc w:val="both"/>
      <w:outlineLvl w:val="0"/>
    </w:pPr>
    <w:rPr>
      <w:rFonts w:ascii="宋体"/>
      <w:b/>
      <w:kern w:val="2"/>
      <w:sz w:val="24"/>
      <w:szCs w:val="24"/>
      <w:lang w:val="en-US" w:eastAsia="zh-CN" w:bidi="ar-SA"/>
    </w:rPr>
  </w:style>
  <w:style w:type="paragraph" w:styleId="6">
    <w:name w:val="heading 2"/>
    <w:basedOn w:val="1"/>
    <w:next w:val="1"/>
    <w:qFormat/>
    <w:uiPriority w:val="0"/>
    <w:pPr>
      <w:keepNext/>
      <w:keepLines/>
      <w:autoSpaceDE w:val="0"/>
      <w:autoSpaceDN w:val="0"/>
      <w:adjustRightInd w:val="0"/>
      <w:snapToGrid w:val="0"/>
      <w:spacing w:before="120" w:after="120"/>
      <w:outlineLvl w:val="1"/>
    </w:pPr>
    <w:rPr>
      <w:rFonts w:ascii="宋体" w:hAnsi="Arial" w:eastAsia="楷体_GB2312"/>
      <w:b/>
      <w:kern w:val="24"/>
      <w:sz w:val="24"/>
      <w:szCs w:val="21"/>
    </w:rPr>
  </w:style>
  <w:style w:type="paragraph" w:styleId="7">
    <w:name w:val="heading 3"/>
    <w:basedOn w:val="1"/>
    <w:next w:val="1"/>
    <w:qFormat/>
    <w:uiPriority w:val="0"/>
    <w:pPr>
      <w:keepNext/>
      <w:keepLines/>
      <w:snapToGrid w:val="0"/>
      <w:spacing w:before="260" w:after="260" w:line="415" w:lineRule="auto"/>
      <w:outlineLvl w:val="2"/>
    </w:pPr>
    <w:rPr>
      <w:b/>
      <w:bCs/>
      <w:sz w:val="32"/>
      <w:szCs w:val="32"/>
    </w:rPr>
  </w:style>
  <w:style w:type="paragraph" w:styleId="8">
    <w:name w:val="heading 4"/>
    <w:basedOn w:val="1"/>
    <w:next w:val="1"/>
    <w:qFormat/>
    <w:uiPriority w:val="0"/>
    <w:pPr>
      <w:keepNext/>
      <w:keepLines/>
      <w:spacing w:before="280" w:after="290" w:line="372" w:lineRule="auto"/>
      <w:outlineLvl w:val="3"/>
    </w:pPr>
    <w:rPr>
      <w:rFonts w:ascii="Arial" w:hAnsi="Arial" w:eastAsia="黑体"/>
      <w:b/>
    </w:rPr>
  </w:style>
  <w:style w:type="character" w:default="1" w:styleId="29">
    <w:name w:val="Default Paragraph Font"/>
    <w:semiHidden/>
    <w:unhideWhenUsed/>
    <w:qFormat/>
    <w:uiPriority w:val="1"/>
  </w:style>
  <w:style w:type="table" w:default="1" w:styleId="28">
    <w:name w:val="Normal Table"/>
    <w:semiHidden/>
    <w:unhideWhenUsed/>
    <w:qFormat/>
    <w:uiPriority w:val="99"/>
    <w:tblPr>
      <w:tblCellMar>
        <w:top w:w="0" w:type="dxa"/>
        <w:left w:w="108" w:type="dxa"/>
        <w:bottom w:w="0" w:type="dxa"/>
        <w:right w:w="108" w:type="dxa"/>
      </w:tblCellMar>
    </w:tblPr>
  </w:style>
  <w:style w:type="paragraph" w:customStyle="1" w:styleId="2">
    <w:name w:val="Default"/>
    <w:basedOn w:val="3"/>
    <w:next w:val="4"/>
    <w:qFormat/>
    <w:uiPriority w:val="0"/>
    <w:pPr>
      <w:widowControl w:val="0"/>
      <w:autoSpaceDE w:val="0"/>
      <w:autoSpaceDN w:val="0"/>
      <w:adjustRightInd w:val="0"/>
    </w:pPr>
    <w:rPr>
      <w:rFonts w:ascii="宋体" w:hAnsi="Times New Roman" w:eastAsia="宋体" w:cs="宋体"/>
      <w:color w:val="000000"/>
      <w:kern w:val="0"/>
      <w:sz w:val="24"/>
      <w:szCs w:val="24"/>
      <w:lang w:val="en-US" w:eastAsia="zh-CN" w:bidi="ar-SA"/>
    </w:rPr>
  </w:style>
  <w:style w:type="paragraph" w:customStyle="1" w:styleId="3">
    <w:name w:val="纯文本1"/>
    <w:basedOn w:val="1"/>
    <w:next w:val="1"/>
    <w:qFormat/>
    <w:uiPriority w:val="0"/>
    <w:pPr>
      <w:adjustRightInd w:val="0"/>
    </w:pPr>
    <w:rPr>
      <w:rFonts w:hAnsi="Courier New"/>
      <w:szCs w:val="20"/>
    </w:rPr>
  </w:style>
  <w:style w:type="paragraph" w:styleId="4">
    <w:name w:val="List 3"/>
    <w:basedOn w:val="1"/>
    <w:next w:val="1"/>
    <w:qFormat/>
    <w:uiPriority w:val="0"/>
    <w:pPr>
      <w:ind w:left="100" w:leftChars="400" w:hanging="200" w:hangingChars="200"/>
    </w:pPr>
  </w:style>
  <w:style w:type="paragraph" w:styleId="9">
    <w:name w:val="E-mail Signature"/>
    <w:basedOn w:val="1"/>
    <w:next w:val="10"/>
    <w:qFormat/>
    <w:uiPriority w:val="0"/>
    <w:pPr>
      <w:spacing w:line="460" w:lineRule="exact"/>
      <w:ind w:firstLine="200"/>
    </w:pPr>
  </w:style>
  <w:style w:type="paragraph" w:customStyle="1" w:styleId="10">
    <w:name w:val="文章"/>
    <w:basedOn w:val="11"/>
    <w:next w:val="14"/>
    <w:qFormat/>
    <w:uiPriority w:val="0"/>
    <w:pPr>
      <w:widowControl/>
      <w:ind w:firstLine="480"/>
      <w:jc w:val="center"/>
    </w:pPr>
    <w:rPr>
      <w:sz w:val="26"/>
    </w:rPr>
  </w:style>
  <w:style w:type="paragraph" w:styleId="11">
    <w:name w:val="Body Text Indent"/>
    <w:basedOn w:val="1"/>
    <w:next w:val="12"/>
    <w:qFormat/>
    <w:uiPriority w:val="0"/>
    <w:pPr>
      <w:spacing w:line="460" w:lineRule="exact"/>
      <w:ind w:firstLine="570"/>
    </w:pPr>
    <w:rPr>
      <w:sz w:val="28"/>
    </w:rPr>
  </w:style>
  <w:style w:type="paragraph" w:styleId="12">
    <w:name w:val="Body Text"/>
    <w:basedOn w:val="1"/>
    <w:next w:val="13"/>
    <w:qFormat/>
    <w:uiPriority w:val="0"/>
    <w:pPr>
      <w:spacing w:after="120"/>
    </w:pPr>
  </w:style>
  <w:style w:type="paragraph" w:styleId="13">
    <w:name w:val="List Bullet 5"/>
    <w:basedOn w:val="1"/>
    <w:semiHidden/>
    <w:unhideWhenUsed/>
    <w:qFormat/>
    <w:uiPriority w:val="99"/>
    <w:pPr>
      <w:numPr>
        <w:ilvl w:val="0"/>
        <w:numId w:val="1"/>
      </w:numPr>
    </w:pPr>
  </w:style>
  <w:style w:type="paragraph" w:styleId="14">
    <w:name w:val="List"/>
    <w:basedOn w:val="1"/>
    <w:next w:val="1"/>
    <w:qFormat/>
    <w:uiPriority w:val="0"/>
    <w:pPr>
      <w:ind w:left="200" w:hanging="200" w:hangingChars="200"/>
      <w:contextualSpacing/>
    </w:pPr>
  </w:style>
  <w:style w:type="paragraph" w:styleId="15">
    <w:name w:val="Normal Indent"/>
    <w:basedOn w:val="1"/>
    <w:next w:val="1"/>
    <w:qFormat/>
    <w:uiPriority w:val="0"/>
    <w:pPr>
      <w:keepNext w:val="0"/>
      <w:keepLines w:val="0"/>
      <w:widowControl w:val="0"/>
      <w:suppressLineNumbers w:val="0"/>
      <w:spacing w:before="0" w:beforeAutospacing="0" w:after="0" w:afterAutospacing="0"/>
      <w:ind w:left="0" w:right="0" w:firstLine="420"/>
      <w:jc w:val="both"/>
    </w:pPr>
    <w:rPr>
      <w:rFonts w:hint="eastAsia" w:ascii="等线" w:hAnsi="等线" w:eastAsia="宋体" w:cs="Times New Roman"/>
      <w:kern w:val="2"/>
      <w:sz w:val="21"/>
      <w:szCs w:val="22"/>
      <w:lang w:val="en-US" w:eastAsia="zh-CN" w:bidi="ar"/>
    </w:rPr>
  </w:style>
  <w:style w:type="paragraph" w:styleId="16">
    <w:name w:val="List Bullet 2"/>
    <w:basedOn w:val="1"/>
    <w:next w:val="17"/>
    <w:semiHidden/>
    <w:unhideWhenUsed/>
    <w:qFormat/>
    <w:uiPriority w:val="99"/>
    <w:pPr>
      <w:numPr>
        <w:ilvl w:val="0"/>
        <w:numId w:val="2"/>
      </w:numPr>
    </w:pPr>
  </w:style>
  <w:style w:type="paragraph" w:customStyle="1" w:styleId="17">
    <w:name w:val="xl70"/>
    <w:basedOn w:val="1"/>
    <w:next w:val="18"/>
    <w:qFormat/>
    <w:uiPriority w:val="0"/>
    <w:pPr>
      <w:widowControl/>
      <w:spacing w:before="280" w:after="280"/>
    </w:pPr>
    <w:rPr>
      <w:rFonts w:ascii="宋体"/>
    </w:rPr>
  </w:style>
  <w:style w:type="paragraph" w:customStyle="1" w:styleId="18">
    <w:name w:val="正文缩进1"/>
    <w:basedOn w:val="1"/>
    <w:next w:val="19"/>
    <w:qFormat/>
    <w:uiPriority w:val="0"/>
    <w:pPr>
      <w:ind w:firstLine="420"/>
    </w:pPr>
    <w:rPr>
      <w:rFonts w:ascii="宋体"/>
      <w:sz w:val="28"/>
    </w:rPr>
  </w:style>
  <w:style w:type="paragraph" w:customStyle="1" w:styleId="19">
    <w:name w:val="td1"/>
    <w:basedOn w:val="1"/>
    <w:next w:val="1"/>
    <w:qFormat/>
    <w:uiPriority w:val="0"/>
    <w:pPr>
      <w:widowControl/>
      <w:spacing w:before="280" w:after="280" w:line="300" w:lineRule="atLeast"/>
      <w:ind w:firstLine="200"/>
    </w:pPr>
    <w:rPr>
      <w:color w:val="000000"/>
      <w:sz w:val="18"/>
    </w:rPr>
  </w:style>
  <w:style w:type="paragraph" w:styleId="20">
    <w:name w:val="Plain Text"/>
    <w:basedOn w:val="1"/>
    <w:next w:val="21"/>
    <w:semiHidden/>
    <w:qFormat/>
    <w:uiPriority w:val="0"/>
    <w:rPr>
      <w:rFonts w:ascii="宋体" w:hAnsi="Courier New"/>
    </w:rPr>
  </w:style>
  <w:style w:type="paragraph" w:styleId="21">
    <w:name w:val="Normal (Web)"/>
    <w:basedOn w:val="1"/>
    <w:qFormat/>
    <w:uiPriority w:val="0"/>
    <w:pPr>
      <w:widowControl/>
      <w:spacing w:before="100" w:beforeAutospacing="1" w:after="100" w:afterAutospacing="1" w:line="360" w:lineRule="atLeast"/>
      <w:jc w:val="left"/>
    </w:pPr>
    <w:rPr>
      <w:rFonts w:ascii="宋体" w:hAnsi="宋体" w:eastAsia="宋体" w:cs="Times New Roman"/>
      <w:kern w:val="0"/>
      <w:szCs w:val="21"/>
    </w:rPr>
  </w:style>
  <w:style w:type="paragraph" w:styleId="22">
    <w:name w:val="Date"/>
    <w:basedOn w:val="1"/>
    <w:next w:val="1"/>
    <w:link w:val="44"/>
    <w:semiHidden/>
    <w:unhideWhenUsed/>
    <w:qFormat/>
    <w:uiPriority w:val="99"/>
    <w:pPr>
      <w:ind w:left="100" w:leftChars="2500"/>
    </w:pPr>
  </w:style>
  <w:style w:type="paragraph" w:styleId="23">
    <w:name w:val="Balloon Text"/>
    <w:basedOn w:val="1"/>
    <w:link w:val="42"/>
    <w:semiHidden/>
    <w:unhideWhenUsed/>
    <w:qFormat/>
    <w:uiPriority w:val="99"/>
    <w:rPr>
      <w:sz w:val="18"/>
      <w:szCs w:val="18"/>
    </w:rPr>
  </w:style>
  <w:style w:type="paragraph" w:styleId="24">
    <w:name w:val="footer"/>
    <w:basedOn w:val="1"/>
    <w:link w:val="41"/>
    <w:unhideWhenUsed/>
    <w:qFormat/>
    <w:uiPriority w:val="99"/>
    <w:pPr>
      <w:tabs>
        <w:tab w:val="center" w:pos="4153"/>
        <w:tab w:val="right" w:pos="8306"/>
      </w:tabs>
      <w:snapToGrid w:val="0"/>
      <w:jc w:val="left"/>
    </w:pPr>
    <w:rPr>
      <w:sz w:val="18"/>
      <w:szCs w:val="18"/>
    </w:rPr>
  </w:style>
  <w:style w:type="paragraph" w:styleId="25">
    <w:name w:val="header"/>
    <w:basedOn w:val="1"/>
    <w:link w:val="40"/>
    <w:unhideWhenUsed/>
    <w:qFormat/>
    <w:uiPriority w:val="99"/>
    <w:pPr>
      <w:pBdr>
        <w:bottom w:val="single" w:color="auto" w:sz="6" w:space="1"/>
      </w:pBdr>
      <w:tabs>
        <w:tab w:val="center" w:pos="4153"/>
        <w:tab w:val="right" w:pos="8306"/>
      </w:tabs>
      <w:snapToGrid w:val="0"/>
      <w:jc w:val="center"/>
    </w:pPr>
    <w:rPr>
      <w:sz w:val="18"/>
      <w:szCs w:val="18"/>
    </w:rPr>
  </w:style>
  <w:style w:type="paragraph" w:styleId="26">
    <w:name w:val="toc 2"/>
    <w:basedOn w:val="1"/>
    <w:next w:val="1"/>
    <w:qFormat/>
    <w:uiPriority w:val="0"/>
    <w:pPr>
      <w:tabs>
        <w:tab w:val="right" w:leader="dot" w:pos="9060"/>
      </w:tabs>
      <w:spacing w:line="360" w:lineRule="auto"/>
      <w:ind w:left="420" w:leftChars="200"/>
    </w:pPr>
  </w:style>
  <w:style w:type="paragraph" w:styleId="27">
    <w:name w:val="Body Text First Indent"/>
    <w:basedOn w:val="12"/>
    <w:qFormat/>
    <w:uiPriority w:val="99"/>
    <w:pPr>
      <w:ind w:firstLine="420" w:firstLineChars="100"/>
    </w:pPr>
    <w:rPr>
      <w:szCs w:val="24"/>
    </w:rPr>
  </w:style>
  <w:style w:type="paragraph" w:customStyle="1" w:styleId="30">
    <w:name w:val="样式35"/>
    <w:basedOn w:val="31"/>
    <w:next w:val="36"/>
    <w:qFormat/>
    <w:uiPriority w:val="0"/>
    <w:pPr>
      <w:tabs>
        <w:tab w:val="left" w:pos="0"/>
        <w:tab w:val="left" w:pos="360"/>
        <w:tab w:val="left" w:pos="540"/>
        <w:tab w:val="left" w:pos="567"/>
        <w:tab w:val="left" w:pos="4140"/>
      </w:tabs>
      <w:spacing w:line="312" w:lineRule="auto"/>
      <w:ind w:firstLine="567"/>
    </w:pPr>
    <w:rPr>
      <w:rFonts w:ascii="宋体"/>
      <w:sz w:val="28"/>
    </w:rPr>
  </w:style>
  <w:style w:type="paragraph" w:customStyle="1" w:styleId="31">
    <w:name w:val="样式26"/>
    <w:basedOn w:val="32"/>
    <w:qFormat/>
    <w:uiPriority w:val="0"/>
    <w:pPr>
      <w:tabs>
        <w:tab w:val="left" w:pos="0"/>
        <w:tab w:val="left" w:pos="360"/>
        <w:tab w:val="left" w:pos="540"/>
        <w:tab w:val="left" w:pos="567"/>
        <w:tab w:val="left" w:pos="4140"/>
      </w:tabs>
    </w:pPr>
  </w:style>
  <w:style w:type="paragraph" w:customStyle="1" w:styleId="32">
    <w:name w:val="样式21"/>
    <w:basedOn w:val="33"/>
    <w:qFormat/>
    <w:uiPriority w:val="0"/>
    <w:pPr>
      <w:tabs>
        <w:tab w:val="left" w:pos="360"/>
        <w:tab w:val="left" w:pos="567"/>
        <w:tab w:val="left" w:pos="4140"/>
      </w:tabs>
      <w:spacing w:beforeLines="0" w:afterLines="0"/>
      <w:ind w:hanging="992"/>
    </w:pPr>
    <w:rPr>
      <w:kern w:val="0"/>
    </w:rPr>
  </w:style>
  <w:style w:type="paragraph" w:customStyle="1" w:styleId="33">
    <w:name w:val="样式5"/>
    <w:basedOn w:val="34"/>
    <w:qFormat/>
    <w:uiPriority w:val="0"/>
    <w:pPr>
      <w:tabs>
        <w:tab w:val="left" w:pos="360"/>
        <w:tab w:val="left" w:pos="567"/>
        <w:tab w:val="left" w:pos="4140"/>
      </w:tabs>
    </w:pPr>
  </w:style>
  <w:style w:type="paragraph" w:customStyle="1" w:styleId="34">
    <w:name w:val="样式12"/>
    <w:basedOn w:val="35"/>
    <w:qFormat/>
    <w:uiPriority w:val="0"/>
    <w:pPr>
      <w:keepNext/>
      <w:keepLines/>
      <w:tabs>
        <w:tab w:val="left" w:pos="360"/>
        <w:tab w:val="left" w:pos="4140"/>
      </w:tabs>
      <w:spacing w:beforeLines="50" w:afterLines="50"/>
      <w:ind w:left="567" w:hanging="567"/>
      <w:outlineLvl w:val="1"/>
    </w:pPr>
    <w:rPr>
      <w:rFonts w:eastAsia="黑体"/>
      <w:sz w:val="28"/>
      <w:szCs w:val="28"/>
    </w:rPr>
  </w:style>
  <w:style w:type="paragraph" w:customStyle="1" w:styleId="35">
    <w:name w:val="样式 标题 3标题 3 Char标题3H3h33rd level第二层条三级标题ReHead 3 WSA头..."/>
    <w:basedOn w:val="7"/>
    <w:qFormat/>
    <w:uiPriority w:val="0"/>
    <w:pPr>
      <w:numPr>
        <w:ilvl w:val="0"/>
        <w:numId w:val="0"/>
      </w:numPr>
      <w:tabs>
        <w:tab w:val="left" w:pos="4140"/>
      </w:tabs>
      <w:spacing w:before="260" w:beforeAutospacing="0" w:after="260" w:afterAutospacing="0" w:line="416" w:lineRule="auto"/>
      <w:ind w:left="4140" w:hanging="720"/>
    </w:pPr>
    <w:rPr>
      <w:rFonts w:eastAsia="黑体"/>
      <w:color w:val="FF0000"/>
    </w:rPr>
  </w:style>
  <w:style w:type="paragraph" w:customStyle="1" w:styleId="36">
    <w:name w:val="font6"/>
    <w:basedOn w:val="1"/>
    <w:next w:val="26"/>
    <w:qFormat/>
    <w:uiPriority w:val="0"/>
    <w:pPr>
      <w:widowControl/>
      <w:spacing w:before="280" w:after="280"/>
    </w:pPr>
  </w:style>
  <w:style w:type="paragraph" w:customStyle="1" w:styleId="37">
    <w:name w:val="表 内容"/>
    <w:basedOn w:val="1"/>
    <w:qFormat/>
    <w:uiPriority w:val="0"/>
    <w:pPr>
      <w:jc w:val="center"/>
    </w:pPr>
    <w:rPr>
      <w:rFonts w:hAnsi="宋体"/>
      <w:szCs w:val="20"/>
    </w:rPr>
  </w:style>
  <w:style w:type="paragraph" w:customStyle="1" w:styleId="38">
    <w:name w:val="样式 标题 2 + 宋体"/>
    <w:basedOn w:val="39"/>
    <w:qFormat/>
    <w:uiPriority w:val="99"/>
    <w:pPr>
      <w:keepLines w:val="0"/>
      <w:numPr>
        <w:ilvl w:val="1"/>
        <w:numId w:val="0"/>
      </w:numPr>
      <w:tabs>
        <w:tab w:val="left" w:pos="567"/>
        <w:tab w:val="left" w:pos="992"/>
        <w:tab w:val="right" w:pos="8640"/>
      </w:tabs>
      <w:overflowPunct w:val="0"/>
      <w:autoSpaceDE w:val="0"/>
      <w:autoSpaceDN w:val="0"/>
      <w:adjustRightInd w:val="0"/>
      <w:snapToGrid w:val="0"/>
      <w:spacing w:before="260" w:after="260" w:afterLines="50" w:line="360" w:lineRule="auto"/>
      <w:ind w:left="992" w:right="482" w:hanging="567"/>
      <w:textAlignment w:val="baseline"/>
    </w:pPr>
    <w:rPr>
      <w:rFonts w:ascii="宋体" w:hAnsi="宋体"/>
      <w:b/>
      <w:bCs/>
      <w:kern w:val="28"/>
      <w:sz w:val="28"/>
      <w:szCs w:val="30"/>
    </w:rPr>
  </w:style>
  <w:style w:type="paragraph" w:customStyle="1" w:styleId="39">
    <w:name w:val="报告书正文 Char"/>
    <w:basedOn w:val="1"/>
    <w:qFormat/>
    <w:uiPriority w:val="0"/>
    <w:pPr>
      <w:adjustRightInd w:val="0"/>
      <w:snapToGrid w:val="0"/>
      <w:spacing w:line="400" w:lineRule="atLeast"/>
      <w:ind w:firstLine="567"/>
    </w:pPr>
    <w:rPr>
      <w:rFonts w:ascii="Times New Roman" w:hAnsi="Times New Roman"/>
      <w:sz w:val="24"/>
      <w:szCs w:val="20"/>
    </w:rPr>
  </w:style>
  <w:style w:type="character" w:customStyle="1" w:styleId="40">
    <w:name w:val="页眉 Char"/>
    <w:basedOn w:val="29"/>
    <w:link w:val="25"/>
    <w:qFormat/>
    <w:uiPriority w:val="99"/>
    <w:rPr>
      <w:sz w:val="18"/>
      <w:szCs w:val="18"/>
    </w:rPr>
  </w:style>
  <w:style w:type="character" w:customStyle="1" w:styleId="41">
    <w:name w:val="页脚 Char"/>
    <w:basedOn w:val="29"/>
    <w:link w:val="24"/>
    <w:qFormat/>
    <w:uiPriority w:val="99"/>
    <w:rPr>
      <w:sz w:val="18"/>
      <w:szCs w:val="18"/>
    </w:rPr>
  </w:style>
  <w:style w:type="character" w:customStyle="1" w:styleId="42">
    <w:name w:val="批注框文本 Char"/>
    <w:basedOn w:val="29"/>
    <w:link w:val="23"/>
    <w:semiHidden/>
    <w:qFormat/>
    <w:uiPriority w:val="99"/>
    <w:rPr>
      <w:sz w:val="18"/>
      <w:szCs w:val="18"/>
    </w:rPr>
  </w:style>
  <w:style w:type="paragraph" w:styleId="43">
    <w:name w:val="List Paragraph"/>
    <w:basedOn w:val="1"/>
    <w:qFormat/>
    <w:uiPriority w:val="34"/>
    <w:pPr>
      <w:ind w:firstLine="420" w:firstLineChars="200"/>
    </w:pPr>
  </w:style>
  <w:style w:type="character" w:customStyle="1" w:styleId="44">
    <w:name w:val="日期 Char"/>
    <w:basedOn w:val="29"/>
    <w:link w:val="22"/>
    <w:semiHidden/>
    <w:qFormat/>
    <w:uiPriority w:val="99"/>
  </w:style>
  <w:style w:type="paragraph" w:customStyle="1" w:styleId="45">
    <w:name w:val="Char Char Char Char Char Char Char Char Char Char Char Char1 Char"/>
    <w:basedOn w:val="1"/>
    <w:qFormat/>
    <w:uiPriority w:val="0"/>
    <w:pPr>
      <w:spacing w:line="360" w:lineRule="auto"/>
      <w:ind w:firstLine="200" w:firstLineChars="200"/>
    </w:pPr>
    <w:rPr>
      <w:rFonts w:ascii="Times New Roman" w:hAnsi="Times New Roman" w:eastAsia="宋体" w:cs="Times New Roman"/>
      <w:szCs w:val="24"/>
    </w:rPr>
  </w:style>
  <w:style w:type="character" w:customStyle="1" w:styleId="46">
    <w:name w:val="报告表  段 Char Char"/>
    <w:link w:val="47"/>
    <w:qFormat/>
    <w:uiPriority w:val="0"/>
    <w:rPr>
      <w:rFonts w:ascii="宋体"/>
      <w:sz w:val="24"/>
    </w:rPr>
  </w:style>
  <w:style w:type="paragraph" w:customStyle="1" w:styleId="47">
    <w:name w:val="报告表  段"/>
    <w:basedOn w:val="1"/>
    <w:link w:val="46"/>
    <w:qFormat/>
    <w:uiPriority w:val="0"/>
    <w:pPr>
      <w:adjustRightInd w:val="0"/>
      <w:spacing w:line="360" w:lineRule="auto"/>
      <w:ind w:firstLine="505"/>
      <w:textAlignment w:val="baseline"/>
    </w:pPr>
    <w:rPr>
      <w:rFonts w:ascii="宋体"/>
      <w:sz w:val="24"/>
    </w:rPr>
  </w:style>
  <w:style w:type="paragraph" w:customStyle="1" w:styleId="48">
    <w:name w:val="Char Char Char Char Char Char Char Char Char Char Char Char1 Char1"/>
    <w:basedOn w:val="1"/>
    <w:qFormat/>
    <w:uiPriority w:val="0"/>
    <w:pPr>
      <w:spacing w:line="360" w:lineRule="auto"/>
      <w:ind w:firstLine="200" w:firstLineChars="200"/>
    </w:pPr>
    <w:rPr>
      <w:rFonts w:ascii="Times New Roman" w:hAnsi="Times New Roman" w:eastAsia="宋体" w:cs="Times New Roman"/>
      <w:szCs w:val="24"/>
    </w:rPr>
  </w:style>
  <w:style w:type="character" w:customStyle="1" w:styleId="49">
    <w:name w:val="yqlink"/>
    <w:basedOn w:val="29"/>
    <w:qFormat/>
    <w:uiPriority w:val="0"/>
  </w:style>
  <w:style w:type="character" w:customStyle="1" w:styleId="50">
    <w:name w:val="@ 正文 Char"/>
    <w:link w:val="51"/>
    <w:qFormat/>
    <w:uiPriority w:val="0"/>
    <w:rPr>
      <w:rFonts w:ascii="Times New Roman" w:hAnsi="宋体"/>
      <w:sz w:val="24"/>
      <w:szCs w:val="21"/>
    </w:rPr>
  </w:style>
  <w:style w:type="paragraph" w:customStyle="1" w:styleId="51">
    <w:name w:val="@ 正文"/>
    <w:basedOn w:val="1"/>
    <w:link w:val="50"/>
    <w:qFormat/>
    <w:uiPriority w:val="0"/>
    <w:pPr>
      <w:tabs>
        <w:tab w:val="left" w:pos="1980"/>
        <w:tab w:val="left" w:pos="3825"/>
        <w:tab w:val="left" w:pos="4680"/>
      </w:tabs>
      <w:spacing w:line="480" w:lineRule="exact"/>
      <w:ind w:firstLine="200" w:firstLineChars="200"/>
    </w:pPr>
    <w:rPr>
      <w:rFonts w:ascii="Times New Roman" w:hAnsi="宋体"/>
      <w:sz w:val="24"/>
      <w:szCs w:val="21"/>
    </w:rPr>
  </w:style>
  <w:style w:type="paragraph" w:customStyle="1" w:styleId="52">
    <w:name w:val="Char1 Char Char Char Char Char1 Char"/>
    <w:basedOn w:val="1"/>
    <w:qFormat/>
    <w:uiPriority w:val="0"/>
    <w:pPr>
      <w:widowControl/>
      <w:ind w:firstLine="200" w:firstLineChars="200"/>
      <w:jc w:val="left"/>
    </w:pPr>
    <w:rPr>
      <w:rFonts w:ascii="宋体" w:hAnsi="宋体" w:eastAsia="宋体" w:cs="宋体"/>
      <w:kern w:val="0"/>
      <w:szCs w:val="24"/>
    </w:rPr>
  </w:style>
  <w:style w:type="paragraph" w:customStyle="1" w:styleId="53">
    <w:name w:val="Char1 Char Char Char Char Char1 Char1"/>
    <w:basedOn w:val="1"/>
    <w:qFormat/>
    <w:uiPriority w:val="0"/>
    <w:pPr>
      <w:widowControl/>
      <w:ind w:firstLine="200" w:firstLineChars="200"/>
      <w:jc w:val="left"/>
    </w:pPr>
    <w:rPr>
      <w:rFonts w:ascii="宋体" w:hAnsi="宋体" w:eastAsia="宋体" w:cs="宋体"/>
      <w:kern w:val="0"/>
      <w:szCs w:val="24"/>
    </w:rPr>
  </w:style>
  <w:style w:type="paragraph" w:customStyle="1" w:styleId="54">
    <w:name w:val="Char Char Char Char Char Char Char Char Char Char Char Char1 Char2"/>
    <w:basedOn w:val="1"/>
    <w:qFormat/>
    <w:uiPriority w:val="0"/>
    <w:pPr>
      <w:spacing w:line="360" w:lineRule="auto"/>
      <w:ind w:firstLine="200" w:firstLineChars="200"/>
    </w:pPr>
    <w:rPr>
      <w:rFonts w:ascii="Times New Roman" w:hAnsi="Times New Roman" w:eastAsia="宋体" w:cs="Times New Roman"/>
      <w:szCs w:val="24"/>
    </w:rPr>
  </w:style>
  <w:style w:type="character" w:customStyle="1" w:styleId="55">
    <w:name w:val="fontstyle01"/>
    <w:basedOn w:val="29"/>
    <w:qFormat/>
    <w:uiPriority w:val="0"/>
    <w:rPr>
      <w:rFonts w:hint="eastAsia" w:ascii="宋体" w:hAnsi="宋体" w:eastAsia="宋体"/>
      <w:color w:val="000000"/>
      <w:sz w:val="24"/>
      <w:szCs w:val="24"/>
    </w:rPr>
  </w:style>
  <w:style w:type="character" w:customStyle="1" w:styleId="56">
    <w:name w:val="fontstyle21"/>
    <w:basedOn w:val="29"/>
    <w:qFormat/>
    <w:uiPriority w:val="0"/>
    <w:rPr>
      <w:rFonts w:hint="default" w:ascii="Times New Roman" w:hAnsi="Times New Roman" w:cs="Times New Roman"/>
      <w:color w:val="000000"/>
      <w:sz w:val="24"/>
      <w:szCs w:val="24"/>
    </w:rPr>
  </w:style>
  <w:style w:type="paragraph" w:customStyle="1" w:styleId="57">
    <w:name w:val="Char Char Char Char Char Char Char Char Char Char Char Char1 Char3"/>
    <w:basedOn w:val="1"/>
    <w:qFormat/>
    <w:uiPriority w:val="0"/>
    <w:pPr>
      <w:spacing w:line="360" w:lineRule="auto"/>
      <w:ind w:firstLine="200" w:firstLineChars="200"/>
    </w:pPr>
    <w:rPr>
      <w:rFonts w:ascii="Times New Roman" w:hAnsi="Times New Roman" w:eastAsia="宋体" w:cs="Times New Roman"/>
      <w:szCs w:val="24"/>
    </w:rPr>
  </w:style>
  <w:style w:type="character" w:customStyle="1" w:styleId="58">
    <w:name w:val="fontstyle11"/>
    <w:basedOn w:val="29"/>
    <w:qFormat/>
    <w:uiPriority w:val="0"/>
    <w:rPr>
      <w:rFonts w:ascii="TimesNewRomanPSMT" w:hAnsi="TimesNewRomanPSMT" w:eastAsia="TimesNewRomanPSMT" w:cs="TimesNewRomanPSMT"/>
      <w:color w:val="000000"/>
      <w:sz w:val="24"/>
      <w:szCs w:val="24"/>
    </w:rPr>
  </w:style>
  <w:style w:type="character" w:customStyle="1" w:styleId="59">
    <w:name w:val="样式 楷体_GB2312 黑色"/>
    <w:basedOn w:val="29"/>
    <w:qFormat/>
    <w:uiPriority w:val="0"/>
    <w:rPr>
      <w:rFonts w:hint="eastAsia" w:ascii="楷体_GB2312" w:hAnsi="宋体" w:eastAsia="楷体_GB2312"/>
      <w:b/>
      <w:color w:val="000000"/>
      <w:sz w:val="24"/>
      <w:lang w:val="en-US" w:eastAsia="zh-CN"/>
    </w:rPr>
  </w:style>
  <w:style w:type="paragraph" w:customStyle="1" w:styleId="60">
    <w:name w:val="_Style 182"/>
    <w:basedOn w:val="1"/>
    <w:qFormat/>
    <w:uiPriority w:val="0"/>
    <w:pPr>
      <w:keepNext/>
      <w:widowControl/>
      <w:tabs>
        <w:tab w:val="left" w:pos="425"/>
      </w:tabs>
      <w:autoSpaceDE w:val="0"/>
      <w:autoSpaceDN w:val="0"/>
      <w:adjustRightInd w:val="0"/>
      <w:spacing w:before="80" w:after="80"/>
      <w:ind w:hanging="425"/>
    </w:pPr>
    <w:rPr>
      <w:rFonts w:ascii="Arial" w:hAnsi="Arial" w:cs="Arial"/>
      <w:sz w:val="20"/>
      <w:szCs w:val="20"/>
    </w:rPr>
  </w:style>
  <w:style w:type="paragraph" w:customStyle="1" w:styleId="61">
    <w:name w:val="报告正文"/>
    <w:basedOn w:val="1"/>
    <w:qFormat/>
    <w:uiPriority w:val="0"/>
    <w:pPr>
      <w:ind w:firstLine="20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4</Pages>
  <Words>1589</Words>
  <Characters>1751</Characters>
  <Lines>8</Lines>
  <Paragraphs>2</Paragraphs>
  <TotalTime>1</TotalTime>
  <ScaleCrop>false</ScaleCrop>
  <LinksUpToDate>false</LinksUpToDate>
  <CharactersWithSpaces>1773</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2020-11-26T03:19:00Z</dcterms:created>
  <dc:creator>张艳</dc:creator>
  <cp:lastModifiedBy>微信用户</cp:lastModifiedBy>
  <cp:lastPrinted>2023-02-24T08:06:00Z</cp:lastPrinted>
  <dcterms:modified xsi:type="dcterms:W3CDTF">2023-06-28T02:40:17Z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49656B3649894D568D7C122620F65087_13</vt:lpwstr>
  </property>
</Properties>
</file>