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粗楷简体" w:hAnsi="方正粗楷简体" w:eastAsia="方正粗楷简体" w:cs="方正粗楷简体"/>
          <w:b/>
          <w:bCs/>
          <w:color w:val="FF0000"/>
          <w:spacing w:val="17"/>
          <w:w w:val="90"/>
          <w:kern w:val="0"/>
          <w:position w:val="-30"/>
          <w:sz w:val="56"/>
          <w:szCs w:val="56"/>
        </w:rPr>
      </w:pPr>
      <w:r>
        <w:rPr>
          <w:rFonts w:hint="eastAsia" w:ascii="方正粗楷简体" w:hAnsi="方正粗楷简体" w:eastAsia="方正粗楷简体" w:cs="方正粗楷简体"/>
          <w:b/>
          <w:bCs/>
          <w:color w:val="FF0000"/>
          <w:spacing w:val="17"/>
          <w:w w:val="90"/>
          <w:kern w:val="0"/>
          <w:position w:val="-30"/>
          <w:sz w:val="56"/>
          <w:szCs w:val="56"/>
        </w:rPr>
        <w:t>郁南县</w:t>
      </w:r>
      <w:r>
        <w:rPr>
          <w:rFonts w:hint="eastAsia" w:ascii="方正粗楷简体" w:hAnsi="方正粗楷简体" w:eastAsia="方正粗楷简体" w:cs="方正粗楷简体"/>
          <w:b/>
          <w:bCs/>
          <w:color w:val="FF0000"/>
          <w:spacing w:val="17"/>
          <w:w w:val="90"/>
          <w:kern w:val="0"/>
          <w:position w:val="-30"/>
          <w:sz w:val="56"/>
          <w:szCs w:val="56"/>
          <w:lang w:val="en-US" w:eastAsia="zh-CN"/>
        </w:rPr>
        <w:t>国鑫投资开发有限公司</w:t>
      </w:r>
      <w:r>
        <w:rPr>
          <w:rFonts w:hint="eastAsia" w:ascii="方正粗楷简体" w:hAnsi="方正粗楷简体" w:eastAsia="方正粗楷简体" w:cs="方正粗楷简体"/>
          <w:b/>
          <w:bCs/>
          <w:color w:val="FF0000"/>
          <w:spacing w:val="17"/>
          <w:w w:val="90"/>
          <w:kern w:val="0"/>
          <w:position w:val="-30"/>
          <w:sz w:val="56"/>
          <w:szCs w:val="56"/>
        </w:rPr>
        <w:t>文件</w:t>
      </w:r>
    </w:p>
    <w:p>
      <w:pPr>
        <w:ind w:firstLine="800" w:firstLineChars="200"/>
        <w:jc w:val="left"/>
        <w:rPr>
          <w:rFonts w:hint="eastAsia"/>
          <w:sz w:val="36"/>
          <w:szCs w:val="44"/>
          <w:lang w:val="en-US" w:eastAsia="zh-CN"/>
        </w:rPr>
      </w:pPr>
      <w:r>
        <w:rPr>
          <w:sz w:val="40"/>
          <w:szCs w:val="22"/>
        </w:rPr>
        <mc:AlternateContent>
          <mc:Choice Requires="wps">
            <w:drawing>
              <wp:anchor distT="0" distB="0" distL="114300" distR="114300" simplePos="0" relativeHeight="251659264" behindDoc="0" locked="0" layoutInCell="1" allowOverlap="1">
                <wp:simplePos x="0" y="0"/>
                <wp:positionH relativeFrom="column">
                  <wp:posOffset>-186690</wp:posOffset>
                </wp:positionH>
                <wp:positionV relativeFrom="paragraph">
                  <wp:posOffset>138430</wp:posOffset>
                </wp:positionV>
                <wp:extent cx="5741035" cy="24765"/>
                <wp:effectExtent l="0" t="19050" r="12065" b="32385"/>
                <wp:wrapNone/>
                <wp:docPr id="1026" name="直接连接符 1"/>
                <wp:cNvGraphicFramePr/>
                <a:graphic xmlns:a="http://schemas.openxmlformats.org/drawingml/2006/main">
                  <a:graphicData uri="http://schemas.microsoft.com/office/word/2010/wordprocessingShape">
                    <wps:wsp>
                      <wps:cNvCnPr/>
                      <wps:spPr>
                        <a:xfrm flipV="1">
                          <a:off x="0" y="0"/>
                          <a:ext cx="5741035" cy="24765"/>
                        </a:xfrm>
                        <a:prstGeom prst="line">
                          <a:avLst/>
                        </a:prstGeom>
                        <a:ln w="38100" cap="flat" cmpd="sng">
                          <a:solidFill>
                            <a:srgbClr val="FF0000"/>
                          </a:solidFill>
                          <a:prstDash val="solid"/>
                          <a:round/>
                          <a:headEnd type="none" w="med" len="med"/>
                          <a:tailEnd type="none" w="med" len="med"/>
                        </a:ln>
                        <a:effectLst/>
                      </wps:spPr>
                      <wps:bodyPr/>
                    </wps:wsp>
                  </a:graphicData>
                </a:graphic>
              </wp:anchor>
            </w:drawing>
          </mc:Choice>
          <mc:Fallback>
            <w:pict>
              <v:line id="直接连接符 1" o:spid="_x0000_s1026" o:spt="20" style="position:absolute;left:0pt;flip:y;margin-left:-14.7pt;margin-top:10.9pt;height:1.95pt;width:452.05pt;z-index:251659264;mso-width-relative:page;mso-height-relative:page;" filled="f" stroked="t" coordsize="21600,21600" o:gfxdata="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hQV52QAAAAkBAAAPAAAAAAAAAAEAIAAAACIA&#10;AABkcnMvZG93bnJldi54bWxQSwECFAAUAAAACACHTuJA9Du3iQgCAAACBAAADgAAAAAAAAABACAA&#10;AAAoAQAAZHJzL2Uyb0RvYy54bWxQSwUGAAAAAAYABgBZAQAAogUAAAAA&#10;">
                <v:fill on="f" focussize="0,0"/>
                <v:stroke weight="3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480" w:lineRule="auto"/>
        <w:ind w:firstLine="880" w:firstLineChars="200"/>
        <w:jc w:val="both"/>
        <w:textAlignment w:val="auto"/>
        <w:rPr>
          <w:rFonts w:hint="eastAsia" w:ascii="方正粗楷简体" w:hAnsi="方正粗楷简体" w:eastAsia="方正粗楷简体" w:cs="方正粗楷简体"/>
          <w:sz w:val="44"/>
          <w:szCs w:val="52"/>
          <w:lang w:val="en-US" w:eastAsia="zh-CN"/>
        </w:rPr>
      </w:pPr>
      <w:r>
        <w:rPr>
          <w:rFonts w:hint="eastAsia" w:ascii="方正粗楷简体" w:hAnsi="方正粗楷简体" w:eastAsia="方正粗楷简体" w:cs="方正粗楷简体"/>
          <w:sz w:val="44"/>
          <w:szCs w:val="52"/>
          <w:lang w:val="en-US" w:eastAsia="zh-CN"/>
        </w:rPr>
        <w:t>雅居苑教师公寓公租房项目招租说明</w:t>
      </w:r>
    </w:p>
    <w:p>
      <w:pPr>
        <w:keepNext w:val="0"/>
        <w:keepLines w:val="0"/>
        <w:pageBreakBefore w:val="0"/>
        <w:widowControl w:val="0"/>
        <w:kinsoku/>
        <w:wordWrap/>
        <w:overflowPunct/>
        <w:topLinePunct w:val="0"/>
        <w:autoSpaceDE/>
        <w:autoSpaceDN/>
        <w:bidi w:val="0"/>
        <w:adjustRightInd/>
        <w:snapToGrid/>
        <w:spacing w:line="240" w:lineRule="exact"/>
        <w:ind w:firstLine="880" w:firstLineChars="200"/>
        <w:jc w:val="both"/>
        <w:textAlignment w:val="auto"/>
        <w:rPr>
          <w:rFonts w:hint="eastAsia" w:ascii="方正粗楷简体" w:hAnsi="方正粗楷简体" w:eastAsia="方正粗楷简体" w:cs="方正粗楷简体"/>
          <w:sz w:val="44"/>
          <w:szCs w:val="52"/>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雅居苑教师公寓公租房项目，是指由县国资中心于2011年和广东省檀越投资有限公司合作开发项目的雅居苑教师村公租房1号楼、2号楼204号房合共137套住房，及1号楼摩托车位（单个面积约为2平方米）144个。</w:t>
      </w:r>
    </w:p>
    <w:p>
      <w:pPr>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为确保国有资产增值保值，我公司根据县国资中心国有资产租赁管理有关工作安排，该项目将向县教育局系统教职工等计划招租对象进行范围公开招租。现就招租有关情况说明如下：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招租计划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本次出租房源约120套，其中一厅一房户型45套，一厅2房户型75套。套内面积和租金情况详见附件《雅居苑教师公寓公租房项目房型及租金一览》。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b/>
          <w:bCs/>
          <w:color w:val="auto"/>
          <w:sz w:val="32"/>
          <w:szCs w:val="32"/>
          <w:lang w:val="en-US" w:eastAsia="zh-CN"/>
        </w:rPr>
        <w:t>招租对象和资格审核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本次招租对象为：</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县城地区中小学校（包括职业技术学院、永红幼儿园、博雅学校）在县城没有房产的教师；</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教育系统行政事业单位在县城地区工作没有房产的公职人员；</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本县高层次引进人才和急需人才等在本地没有房产人员。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申请人及其共同申请人需按县国鑫投资开发有限公司公布的教师公寓公租房申请受理通告的规定提供申请材料，并对申请材料的真实性负责。教师公寓租赁住房租赁申请受理后，由申请所在单位确认，报县教育局审核，由县国鑫投资开发有限公司进行公示并建立用房需求档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bookmarkStart w:id="0" w:name="_GoBack"/>
      <w:bookmarkEnd w:id="0"/>
      <w:r>
        <w:rPr>
          <w:rFonts w:hint="eastAsia" w:ascii="仿宋" w:hAnsi="仿宋" w:eastAsia="仿宋" w:cs="仿宋"/>
          <w:color w:val="auto"/>
          <w:sz w:val="32"/>
          <w:szCs w:val="32"/>
          <w:lang w:val="en-US" w:eastAsia="zh-CN"/>
        </w:rPr>
        <w:t>申请教师公寓租赁住房应提交的材料包括：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（一）公共租赁住房申请审批表；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（二）申请人身份户籍状况（已婚需提供结婚证）；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（三）申请人单位任职证明和收入状况；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（四）由县不动产登记中心出具的个人名下（已婚的同时提供配偶名下）房产状况；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（五）其他证明材料；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三、配租方式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教师公寓租赁住房配租户型按照以下原则选择为先：</w:t>
      </w:r>
    </w:p>
    <w:p>
      <w:pPr>
        <w:keepNext w:val="0"/>
        <w:keepLines w:val="0"/>
        <w:pageBreakBefore w:val="0"/>
        <w:widowControl w:val="0"/>
        <w:kinsoku/>
        <w:wordWrap/>
        <w:overflowPunct/>
        <w:topLinePunct w:val="0"/>
        <w:autoSpaceDE/>
        <w:autoSpaceDN/>
        <w:bidi w:val="0"/>
        <w:adjustRightInd/>
        <w:snapToGrid/>
        <w:spacing w:line="360" w:lineRule="auto"/>
        <w:ind w:firstLine="320" w:firstLineChars="1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（一）申请人为1人，应以选择一房一厅的房源为先。如出现一房一厅已选满，尚有两房一厅的房源，可选择两房一厅的单间，但后续亦会配租新的申请人到该房型的另一个单间；</w:t>
      </w:r>
    </w:p>
    <w:p>
      <w:pPr>
        <w:keepNext w:val="0"/>
        <w:keepLines w:val="0"/>
        <w:pageBreakBefore w:val="0"/>
        <w:widowControl w:val="0"/>
        <w:kinsoku/>
        <w:wordWrap/>
        <w:overflowPunct/>
        <w:topLinePunct w:val="0"/>
        <w:autoSpaceDE/>
        <w:autoSpaceDN/>
        <w:bidi w:val="0"/>
        <w:adjustRightInd/>
        <w:snapToGrid/>
        <w:spacing w:line="360" w:lineRule="auto"/>
        <w:ind w:firstLine="320" w:firstLineChars="1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（二）申请人为夫妻2人的家庭，应以选择一房一厅的房源为先；</w:t>
      </w:r>
    </w:p>
    <w:p>
      <w:pPr>
        <w:keepNext w:val="0"/>
        <w:keepLines w:val="0"/>
        <w:pageBreakBefore w:val="0"/>
        <w:widowControl w:val="0"/>
        <w:kinsoku/>
        <w:wordWrap/>
        <w:overflowPunct/>
        <w:topLinePunct w:val="0"/>
        <w:autoSpaceDE/>
        <w:autoSpaceDN/>
        <w:bidi w:val="0"/>
        <w:adjustRightInd/>
        <w:snapToGrid/>
        <w:spacing w:line="360" w:lineRule="auto"/>
        <w:ind w:firstLine="320" w:firstLineChars="1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（三）有共同申请人的，或3人及3人以上的家庭，应以选择两房一厅的房源为先；</w:t>
      </w:r>
    </w:p>
    <w:p>
      <w:pPr>
        <w:keepNext w:val="0"/>
        <w:keepLines w:val="0"/>
        <w:pageBreakBefore w:val="0"/>
        <w:widowControl w:val="0"/>
        <w:kinsoku/>
        <w:wordWrap/>
        <w:overflowPunct/>
        <w:topLinePunct w:val="0"/>
        <w:autoSpaceDE/>
        <w:autoSpaceDN/>
        <w:bidi w:val="0"/>
        <w:adjustRightInd/>
        <w:snapToGrid/>
        <w:spacing w:line="360" w:lineRule="auto"/>
        <w:ind w:firstLine="320" w:firstLineChars="10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（四）申请人3人以上的家庭，应以选择两房一厅。</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四、教师公寓租赁住房按照以下程序进行：</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公布配租方案。配租业主单位根据房源实际情况，制定配租方案，并公布房源的位置、数量、户型、配租原则、租金标准等内容。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期间，将由县国鑫投资开发有限公司安排，以固定的时间和楼层开放给申请人提前观察房源情况。</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分配房屋。本次教师公寓租赁住房基本为集中分配，由配租业主单位依照“公开、公平、公正”原则，进行以抽签选房方式举行选房活动进行配租。每期将进行两轮抽签选房，通过抽签并选中房的申请人，须签订选房确认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在首次抽签活动结束，对参加选房但拒绝抽签选定住房的，进入轮候登记在册，将通过第二轮对余下的房源，重新进行抽签选房。当期两轮抽签选房结束后，均拒绝抽签选定住房的，视为暂时放弃配租资格。待下一期的有房源调整配租时，再重新申请租赁。</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办理入住。已签订选房确认书的申请人按照规定签约，凭相关资料与配租业主单位签订书面三年租赁合同。并联系物业管理中心自行办理住房套内和公摊水电费用扣费手续。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lang w:val="en-US" w:eastAsia="zh-CN"/>
        </w:rPr>
        <w:t>五、使用与退出方式：</w:t>
      </w:r>
      <w:r>
        <w:rPr>
          <w:rFonts w:hint="eastAsia" w:ascii="仿宋" w:hAnsi="仿宋" w:eastAsia="仿宋" w:cs="仿宋"/>
          <w:color w:val="auto"/>
          <w:sz w:val="32"/>
          <w:szCs w:val="32"/>
          <w:lang w:val="en-US" w:eastAsia="zh-CN"/>
        </w:rPr>
        <w:t>承租人应当按照合同约定的内容使用租赁住房，在享受相关权利的同时并承担相应的责任。</w:t>
      </w:r>
      <w:r>
        <w:rPr>
          <w:rFonts w:hint="default" w:ascii="仿宋" w:hAnsi="仿宋" w:eastAsia="仿宋" w:cs="仿宋"/>
          <w:color w:val="auto"/>
          <w:sz w:val="32"/>
          <w:szCs w:val="32"/>
          <w:lang w:val="en-US" w:eastAsia="zh-CN"/>
        </w:rPr>
        <w:t>租赁期</w:t>
      </w:r>
      <w:r>
        <w:rPr>
          <w:rFonts w:hint="eastAsia" w:ascii="仿宋" w:hAnsi="仿宋" w:eastAsia="仿宋" w:cs="仿宋"/>
          <w:color w:val="auto"/>
          <w:sz w:val="32"/>
          <w:szCs w:val="32"/>
          <w:lang w:val="en-US" w:eastAsia="zh-CN"/>
        </w:rPr>
        <w:t>间</w:t>
      </w:r>
      <w:r>
        <w:rPr>
          <w:rFonts w:hint="default" w:ascii="仿宋" w:hAnsi="仿宋" w:eastAsia="仿宋" w:cs="仿宋"/>
          <w:color w:val="auto"/>
          <w:sz w:val="32"/>
          <w:szCs w:val="32"/>
          <w:lang w:val="en-US" w:eastAsia="zh-CN"/>
        </w:rPr>
        <w:t>满</w:t>
      </w:r>
      <w:r>
        <w:rPr>
          <w:rFonts w:hint="eastAsia" w:ascii="仿宋" w:hAnsi="仿宋" w:eastAsia="仿宋" w:cs="仿宋"/>
          <w:color w:val="auto"/>
          <w:sz w:val="32"/>
          <w:szCs w:val="32"/>
          <w:lang w:val="en-US" w:eastAsia="zh-CN"/>
        </w:rPr>
        <w:t>一年后</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承租人方可申请退租办理手续。</w:t>
      </w:r>
      <w:r>
        <w:rPr>
          <w:rFonts w:hint="default" w:ascii="仿宋" w:hAnsi="仿宋" w:eastAsia="仿宋" w:cs="仿宋"/>
          <w:color w:val="auto"/>
          <w:sz w:val="32"/>
          <w:szCs w:val="32"/>
          <w:lang w:val="en-US" w:eastAsia="zh-CN"/>
        </w:rPr>
        <w:t>在租赁期间</w:t>
      </w:r>
      <w:r>
        <w:rPr>
          <w:rFonts w:hint="eastAsia" w:ascii="仿宋" w:hAnsi="仿宋" w:eastAsia="仿宋" w:cs="仿宋"/>
          <w:color w:val="auto"/>
          <w:sz w:val="32"/>
          <w:szCs w:val="32"/>
          <w:lang w:val="en-US" w:eastAsia="zh-CN"/>
        </w:rPr>
        <w:t>未满一年</w:t>
      </w:r>
      <w:r>
        <w:rPr>
          <w:rFonts w:hint="default" w:ascii="仿宋" w:hAnsi="仿宋" w:eastAsia="仿宋" w:cs="仿宋"/>
          <w:color w:val="auto"/>
          <w:sz w:val="32"/>
          <w:szCs w:val="32"/>
          <w:lang w:val="en-US" w:eastAsia="zh-CN"/>
        </w:rPr>
        <w:t>，承租人因迁出本县、另行购买自有住房</w:t>
      </w:r>
      <w:r>
        <w:rPr>
          <w:rFonts w:hint="eastAsia" w:ascii="仿宋" w:hAnsi="仿宋" w:eastAsia="仿宋" w:cs="仿宋"/>
          <w:color w:val="auto"/>
          <w:sz w:val="32"/>
          <w:szCs w:val="32"/>
          <w:lang w:val="en-US" w:eastAsia="zh-CN"/>
        </w:rPr>
        <w:t>、不符合招租对象</w:t>
      </w:r>
      <w:r>
        <w:rPr>
          <w:rFonts w:hint="default" w:ascii="仿宋" w:hAnsi="仿宋" w:eastAsia="仿宋" w:cs="仿宋"/>
          <w:color w:val="auto"/>
          <w:sz w:val="32"/>
          <w:szCs w:val="32"/>
          <w:lang w:val="en-US" w:eastAsia="zh-CN"/>
        </w:rPr>
        <w:t>等原因，不再符合住房租赁条件的，</w:t>
      </w:r>
      <w:r>
        <w:rPr>
          <w:rFonts w:hint="eastAsia" w:ascii="仿宋" w:hAnsi="仿宋" w:eastAsia="仿宋" w:cs="仿宋"/>
          <w:color w:val="auto"/>
          <w:sz w:val="32"/>
          <w:szCs w:val="32"/>
          <w:lang w:val="en-US" w:eastAsia="zh-CN"/>
        </w:rPr>
        <w:t>提交单位证明或购房证明等资料可</w:t>
      </w:r>
      <w:r>
        <w:rPr>
          <w:rFonts w:hint="default" w:ascii="仿宋" w:hAnsi="仿宋" w:eastAsia="仿宋" w:cs="仿宋"/>
          <w:color w:val="auto"/>
          <w:sz w:val="32"/>
          <w:szCs w:val="32"/>
          <w:lang w:val="en-US" w:eastAsia="zh-CN"/>
        </w:rPr>
        <w:t>申请退租办理手续。</w:t>
      </w:r>
      <w:r>
        <w:rPr>
          <w:rFonts w:hint="eastAsia" w:ascii="仿宋" w:hAnsi="仿宋" w:eastAsia="仿宋" w:cs="仿宋"/>
          <w:color w:val="auto"/>
          <w:sz w:val="32"/>
          <w:szCs w:val="32"/>
          <w:lang w:val="en-US" w:eastAsia="zh-CN"/>
        </w:rPr>
        <w:t>合同约定的租赁期满后，</w:t>
      </w:r>
      <w:r>
        <w:rPr>
          <w:rFonts w:hint="default" w:ascii="仿宋" w:hAnsi="仿宋" w:eastAsia="仿宋" w:cs="仿宋"/>
          <w:color w:val="auto"/>
          <w:sz w:val="32"/>
          <w:szCs w:val="32"/>
          <w:lang w:val="en-US" w:eastAsia="zh-CN"/>
        </w:rPr>
        <w:t>承租人仍符合住房保障条件，应</w:t>
      </w:r>
      <w:r>
        <w:rPr>
          <w:rFonts w:hint="eastAsia" w:ascii="仿宋" w:hAnsi="仿宋" w:eastAsia="仿宋" w:cs="仿宋"/>
          <w:color w:val="auto"/>
          <w:sz w:val="32"/>
          <w:szCs w:val="32"/>
          <w:lang w:val="en-US" w:eastAsia="zh-CN"/>
        </w:rPr>
        <w:t>在合同期限届满前3个月</w:t>
      </w:r>
      <w:r>
        <w:rPr>
          <w:rFonts w:hint="default" w:ascii="仿宋" w:hAnsi="仿宋" w:eastAsia="仿宋" w:cs="仿宋"/>
          <w:color w:val="auto"/>
          <w:sz w:val="32"/>
          <w:szCs w:val="32"/>
          <w:lang w:val="en-US" w:eastAsia="zh-CN"/>
        </w:rPr>
        <w:t>申请续租。</w:t>
      </w:r>
      <w:r>
        <w:rPr>
          <w:rFonts w:hint="eastAsia" w:ascii="仿宋" w:hAnsi="仿宋" w:eastAsia="仿宋" w:cs="仿宋"/>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4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配租业主单位应当根据合同约定或法定情形，解除合同并收回住房，如无正当理由逾期不腾退或拒不执行的，依法申请人民法院强制执行。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承租人有下列情形之一的，应当按照合同约定支付违约金。</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无正当理由连续6个月以上闲置公共租赁住房的；</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无正当理由连续2个月或累计6个月以上未缴纳租金的；</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擅自互换、出借、转租、抵押公共租赁住房的；</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将公共租赁住房用于经营性用途或者改变使用功能的；</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因故意或重大过失，造成租赁的公共租赁住房严重损毁的；</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经年度检查不再符合住房保障条件的；</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经甲方出具书面警告通知，租户未对警告事项进行整改的；</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法律、法规规定或者合同约定的其他违法、违法情形。</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2"/>
          <w:szCs w:val="32"/>
          <w:lang w:val="en-US" w:eastAsia="zh-CN"/>
        </w:rPr>
      </w:pPr>
      <w:r>
        <w:rPr>
          <w:rFonts w:hint="eastAsia" w:ascii="仿宋" w:hAnsi="仿宋" w:eastAsia="仿宋" w:cs="仿宋"/>
          <w:b w:val="0"/>
          <w:bCs w:val="0"/>
          <w:color w:val="auto"/>
          <w:sz w:val="32"/>
          <w:szCs w:val="32"/>
          <w:lang w:val="en-US" w:eastAsia="zh-CN"/>
        </w:rPr>
        <w:t xml:space="preserve">                      郁南县国鑫投资开发有限公司</w:t>
      </w:r>
      <w:r>
        <w:rPr>
          <w:rFonts w:hint="eastAsia" w:ascii="仿宋" w:hAnsi="仿宋" w:eastAsia="仿宋" w:cs="仿宋"/>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2022年03月10日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楷简体">
    <w:altName w:val="楷体_GB2312"/>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A74037"/>
    <w:multiLevelType w:val="singleLevel"/>
    <w:tmpl w:val="29A74037"/>
    <w:lvl w:ilvl="0" w:tentative="0">
      <w:start w:val="1"/>
      <w:numFmt w:val="chineseCounting"/>
      <w:suff w:val="nothing"/>
      <w:lvlText w:val="%1、"/>
      <w:lvlJc w:val="left"/>
      <w:rPr>
        <w:rFonts w:hint="eastAsia"/>
      </w:rPr>
    </w:lvl>
  </w:abstractNum>
  <w:abstractNum w:abstractNumId="1">
    <w:nsid w:val="4770D4F1"/>
    <w:multiLevelType w:val="singleLevel"/>
    <w:tmpl w:val="4770D4F1"/>
    <w:lvl w:ilvl="0" w:tentative="0">
      <w:start w:val="1"/>
      <w:numFmt w:val="chineseCounting"/>
      <w:suff w:val="nothing"/>
      <w:lvlText w:val="（%1）"/>
      <w:lvlJc w:val="left"/>
      <w:rPr>
        <w:rFonts w:hint="eastAsia"/>
      </w:rPr>
    </w:lvl>
  </w:abstractNum>
  <w:abstractNum w:abstractNumId="2">
    <w:nsid w:val="6EDB2638"/>
    <w:multiLevelType w:val="singleLevel"/>
    <w:tmpl w:val="6EDB2638"/>
    <w:lvl w:ilvl="0" w:tentative="0">
      <w:start w:val="1"/>
      <w:numFmt w:val="chineseCounting"/>
      <w:suff w:val="nothing"/>
      <w:lvlText w:val="（%1）"/>
      <w:lvlJc w:val="left"/>
      <w:rPr>
        <w:rFonts w:hint="eastAsia"/>
      </w:rPr>
    </w:lvl>
  </w:abstractNum>
  <w:abstractNum w:abstractNumId="3">
    <w:nsid w:val="75DF0A4C"/>
    <w:multiLevelType w:val="singleLevel"/>
    <w:tmpl w:val="75DF0A4C"/>
    <w:lvl w:ilvl="0" w:tentative="0">
      <w:start w:val="1"/>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lMzdhMWUzZjlhNDE5M2JmZjljOWFiNWViNWY2MzUifQ=="/>
  </w:docVars>
  <w:rsids>
    <w:rsidRoot w:val="00000000"/>
    <w:rsid w:val="021242B7"/>
    <w:rsid w:val="0CA72EB9"/>
    <w:rsid w:val="0DD90C80"/>
    <w:rsid w:val="0EFA24D3"/>
    <w:rsid w:val="12E806A4"/>
    <w:rsid w:val="1566364C"/>
    <w:rsid w:val="162318DD"/>
    <w:rsid w:val="162F1136"/>
    <w:rsid w:val="17D15F49"/>
    <w:rsid w:val="1D3E33C8"/>
    <w:rsid w:val="1F591315"/>
    <w:rsid w:val="1F79340E"/>
    <w:rsid w:val="245C4922"/>
    <w:rsid w:val="2A2E7AE4"/>
    <w:rsid w:val="2DA44191"/>
    <w:rsid w:val="312A69E7"/>
    <w:rsid w:val="355F7C98"/>
    <w:rsid w:val="42425D22"/>
    <w:rsid w:val="4F8447B1"/>
    <w:rsid w:val="59CC5FDE"/>
    <w:rsid w:val="5F1706B8"/>
    <w:rsid w:val="6A3D1BFD"/>
    <w:rsid w:val="6B4A106F"/>
    <w:rsid w:val="6B877B04"/>
    <w:rsid w:val="6B903E35"/>
    <w:rsid w:val="7A9069B7"/>
    <w:rsid w:val="7CEF6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1689</Words>
  <Characters>1707</Characters>
  <Lines>0</Lines>
  <Paragraphs>0</Paragraphs>
  <TotalTime>1</TotalTime>
  <ScaleCrop>false</ScaleCrop>
  <LinksUpToDate>false</LinksUpToDate>
  <CharactersWithSpaces>1780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2022-03-08T00:50:00Z</dcterms:created>
  <dc:creator>Administrator</dc:creator>
  <cp:lastModifiedBy>Cute。</cp:lastModifiedBy>
  <cp:lastPrinted>2022-03-18T09:02:00Z</cp:lastPrinted>
  <dcterms:modified xsi:type="dcterms:W3CDTF">2022-05-16T07:43:10Z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36D5690A770A47C592518D19319FC020</vt:lpwstr>
  </property>
</Properties>
</file>