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0E299">
      <w:pPr>
        <w:jc w:val="center"/>
        <w:rPr>
          <w:b/>
          <w:bCs/>
          <w:sz w:val="32"/>
          <w:szCs w:val="32"/>
        </w:rPr>
      </w:pPr>
      <w:r>
        <w:rPr>
          <w:rFonts w:hint="eastAsia"/>
          <w:b/>
          <w:bCs/>
          <w:sz w:val="32"/>
          <w:szCs w:val="32"/>
        </w:rPr>
        <w:t>综合评分表</w:t>
      </w:r>
    </w:p>
    <w:tbl>
      <w:tblPr>
        <w:tblStyle w:val="6"/>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347"/>
        <w:gridCol w:w="737"/>
        <w:gridCol w:w="6962"/>
      </w:tblGrid>
      <w:tr w14:paraId="6310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8016BF7">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347" w:type="dxa"/>
            <w:tcBorders>
              <w:top w:val="single" w:color="auto" w:sz="4" w:space="0"/>
              <w:left w:val="single" w:color="auto" w:sz="4" w:space="0"/>
              <w:bottom w:val="single" w:color="auto" w:sz="4" w:space="0"/>
              <w:right w:val="single" w:color="auto" w:sz="4" w:space="0"/>
            </w:tcBorders>
            <w:vAlign w:val="center"/>
          </w:tcPr>
          <w:p w14:paraId="32A0AB63">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评分内容</w:t>
            </w:r>
          </w:p>
        </w:tc>
        <w:tc>
          <w:tcPr>
            <w:tcW w:w="737" w:type="dxa"/>
            <w:tcBorders>
              <w:top w:val="single" w:color="auto" w:sz="4" w:space="0"/>
              <w:left w:val="single" w:color="auto" w:sz="4" w:space="0"/>
              <w:bottom w:val="single" w:color="auto" w:sz="4" w:space="0"/>
              <w:right w:val="single" w:color="auto" w:sz="4" w:space="0"/>
            </w:tcBorders>
            <w:vAlign w:val="center"/>
          </w:tcPr>
          <w:p w14:paraId="5E35B507">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分值</w:t>
            </w:r>
          </w:p>
        </w:tc>
        <w:tc>
          <w:tcPr>
            <w:tcW w:w="6962" w:type="dxa"/>
            <w:tcBorders>
              <w:top w:val="single" w:color="auto" w:sz="4" w:space="0"/>
              <w:left w:val="single" w:color="auto" w:sz="4" w:space="0"/>
              <w:bottom w:val="single" w:color="auto" w:sz="4" w:space="0"/>
              <w:right w:val="single" w:color="auto" w:sz="4" w:space="0"/>
            </w:tcBorders>
            <w:vAlign w:val="center"/>
          </w:tcPr>
          <w:p w14:paraId="6FFF93FE">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评分标准</w:t>
            </w:r>
          </w:p>
        </w:tc>
      </w:tr>
      <w:tr w14:paraId="5776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736" w:type="dxa"/>
            <w:gridSpan w:val="4"/>
            <w:tcBorders>
              <w:top w:val="single" w:color="auto" w:sz="4" w:space="0"/>
              <w:left w:val="single" w:color="auto" w:sz="4" w:space="0"/>
              <w:bottom w:val="single" w:color="auto" w:sz="4" w:space="0"/>
              <w:right w:val="single" w:color="auto" w:sz="4" w:space="0"/>
            </w:tcBorders>
            <w:vAlign w:val="center"/>
          </w:tcPr>
          <w:p w14:paraId="0571F63F">
            <w:pPr>
              <w:pStyle w:val="9"/>
              <w:spacing w:line="240" w:lineRule="auto"/>
              <w:ind w:firstLine="0" w:firstLineChars="0"/>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商务评分（</w:t>
            </w:r>
            <w:r>
              <w:rPr>
                <w:rFonts w:hint="eastAsia" w:asciiTheme="minorEastAsia" w:hAnsiTheme="minorEastAsia" w:eastAsiaTheme="minorEastAsia" w:cstheme="minorEastAsia"/>
                <w:b/>
                <w:sz w:val="21"/>
                <w:szCs w:val="21"/>
                <w:lang w:val="en-US" w:eastAsia="zh-CN"/>
              </w:rPr>
              <w:t>20</w:t>
            </w:r>
            <w:r>
              <w:rPr>
                <w:rFonts w:hint="eastAsia" w:asciiTheme="minorEastAsia" w:hAnsiTheme="minorEastAsia" w:eastAsiaTheme="minorEastAsia" w:cstheme="minorEastAsia"/>
                <w:b/>
                <w:sz w:val="21"/>
                <w:szCs w:val="21"/>
              </w:rPr>
              <w:t>分）</w:t>
            </w:r>
          </w:p>
        </w:tc>
      </w:tr>
      <w:tr w14:paraId="2A26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C2C711E">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347" w:type="dxa"/>
            <w:tcBorders>
              <w:top w:val="single" w:color="auto" w:sz="4" w:space="0"/>
              <w:left w:val="single" w:color="auto" w:sz="4" w:space="0"/>
              <w:bottom w:val="single" w:color="auto" w:sz="4" w:space="0"/>
              <w:right w:val="single" w:color="auto" w:sz="4" w:space="0"/>
            </w:tcBorders>
            <w:vAlign w:val="center"/>
          </w:tcPr>
          <w:p w14:paraId="34C42E53">
            <w:pPr>
              <w:widowControl/>
              <w:spacing w:line="240" w:lineRule="auto"/>
              <w:jc w:val="center"/>
              <w:textAlignment w:val="center"/>
              <w:rPr>
                <w:rFonts w:ascii="宋体" w:hAnsi="宋体" w:cs="宋体"/>
                <w:color w:val="000000"/>
                <w:kern w:val="0"/>
              </w:rPr>
            </w:pPr>
            <w:r>
              <w:rPr>
                <w:rFonts w:hint="eastAsia" w:ascii="宋体" w:hAnsi="宋体" w:cs="宋体"/>
                <w:color w:val="000000"/>
                <w:kern w:val="0"/>
              </w:rPr>
              <w:t>管理体系</w:t>
            </w:r>
          </w:p>
          <w:p w14:paraId="2474FAC7">
            <w:pPr>
              <w:spacing w:line="240" w:lineRule="auto"/>
              <w:jc w:val="center"/>
              <w:rPr>
                <w:rFonts w:ascii="宋体" w:hAnsi="宋体" w:eastAsia="宋体" w:cs="宋体"/>
                <w:sz w:val="21"/>
                <w:szCs w:val="21"/>
              </w:rPr>
            </w:pPr>
            <w:r>
              <w:rPr>
                <w:rFonts w:hint="eastAsia" w:ascii="宋体" w:hAnsi="宋体" w:cs="宋体"/>
                <w:color w:val="000000"/>
                <w:kern w:val="0"/>
              </w:rPr>
              <w:t>认证</w:t>
            </w:r>
          </w:p>
        </w:tc>
        <w:tc>
          <w:tcPr>
            <w:tcW w:w="737" w:type="dxa"/>
            <w:tcBorders>
              <w:top w:val="single" w:color="auto" w:sz="4" w:space="0"/>
              <w:left w:val="single" w:color="auto" w:sz="4" w:space="0"/>
              <w:bottom w:val="single" w:color="auto" w:sz="4" w:space="0"/>
              <w:right w:val="single" w:color="auto" w:sz="4" w:space="0"/>
            </w:tcBorders>
            <w:vAlign w:val="center"/>
          </w:tcPr>
          <w:p w14:paraId="55FF103D">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962" w:type="dxa"/>
            <w:tcBorders>
              <w:top w:val="single" w:color="auto" w:sz="4" w:space="0"/>
              <w:left w:val="single" w:color="auto" w:sz="4" w:space="0"/>
              <w:bottom w:val="single" w:color="auto" w:sz="4" w:space="0"/>
              <w:right w:val="single" w:color="auto" w:sz="4" w:space="0"/>
            </w:tcBorders>
            <w:vAlign w:val="center"/>
          </w:tcPr>
          <w:p w14:paraId="4A345D0E">
            <w:pPr>
              <w:adjustRightInd w:val="0"/>
              <w:snapToGrid w:val="0"/>
              <w:spacing w:line="240" w:lineRule="auto"/>
              <w:rPr>
                <w:rFonts w:ascii="宋体" w:hAnsi="宋体" w:eastAsia="宋体" w:cs="宋体"/>
                <w:sz w:val="21"/>
                <w:szCs w:val="21"/>
              </w:rPr>
            </w:pPr>
            <w:r>
              <w:rPr>
                <w:rFonts w:hint="eastAsia" w:ascii="宋体" w:hAnsi="宋体" w:eastAsia="宋体" w:cs="宋体"/>
                <w:sz w:val="21"/>
                <w:szCs w:val="21"/>
              </w:rPr>
              <w:t>根据投标人是否具备有效期内的以下管理体系认证进行评分：</w:t>
            </w:r>
          </w:p>
          <w:p w14:paraId="59724917">
            <w:pPr>
              <w:adjustRightInd w:val="0"/>
              <w:snapToGrid w:val="0"/>
              <w:spacing w:line="240" w:lineRule="auto"/>
              <w:rPr>
                <w:rFonts w:ascii="宋体" w:hAnsi="宋体" w:eastAsia="宋体" w:cs="宋体"/>
                <w:sz w:val="21"/>
                <w:szCs w:val="21"/>
              </w:rPr>
            </w:pPr>
            <w:r>
              <w:rPr>
                <w:rFonts w:hint="eastAsia" w:ascii="宋体" w:hAnsi="宋体" w:eastAsia="宋体" w:cs="宋体"/>
                <w:sz w:val="21"/>
                <w:szCs w:val="21"/>
              </w:rPr>
              <w:t>具有①物业管理服务（五星级）认证证书得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r>
              <w:rPr>
                <w:rFonts w:hint="eastAsia" w:ascii="宋体" w:hAnsi="宋体" w:eastAsia="宋体" w:cs="宋体"/>
                <w:sz w:val="21"/>
                <w:szCs w:val="21"/>
                <w:lang w:eastAsia="zh-CN"/>
              </w:rPr>
              <w:t>，</w:t>
            </w:r>
            <w:r>
              <w:rPr>
                <w:rFonts w:hint="eastAsia" w:ascii="宋体" w:hAnsi="宋体" w:eastAsia="宋体" w:cs="宋体"/>
                <w:sz w:val="21"/>
                <w:szCs w:val="21"/>
              </w:rPr>
              <w:t>（四星级）得</w:t>
            </w:r>
            <w:r>
              <w:rPr>
                <w:rFonts w:hint="eastAsia" w:ascii="宋体" w:hAnsi="宋体" w:eastAsia="宋体" w:cs="宋体"/>
                <w:sz w:val="21"/>
                <w:szCs w:val="21"/>
                <w:lang w:val="en-US" w:eastAsia="zh-CN"/>
              </w:rPr>
              <w:t>2</w:t>
            </w:r>
            <w:r>
              <w:rPr>
                <w:rFonts w:hint="eastAsia" w:ascii="宋体" w:hAnsi="宋体" w:eastAsia="宋体" w:cs="宋体"/>
                <w:sz w:val="21"/>
                <w:szCs w:val="21"/>
              </w:rPr>
              <w:t>分，其他不得分；</w:t>
            </w:r>
          </w:p>
          <w:p w14:paraId="3299A0D7">
            <w:pPr>
              <w:adjustRightInd w:val="0"/>
              <w:snapToGrid w:val="0"/>
              <w:spacing w:line="240" w:lineRule="auto"/>
              <w:rPr>
                <w:rFonts w:ascii="宋体" w:hAnsi="宋体" w:eastAsia="宋体" w:cs="宋体"/>
                <w:sz w:val="21"/>
                <w:szCs w:val="21"/>
              </w:rPr>
            </w:pPr>
            <w:r>
              <w:rPr>
                <w:rFonts w:hint="eastAsia" w:ascii="宋体" w:hAnsi="宋体" w:eastAsia="宋体" w:cs="宋体"/>
                <w:sz w:val="21"/>
                <w:szCs w:val="21"/>
              </w:rPr>
              <w:t>此项最高分不超过</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14:paraId="298BFFBF">
            <w:pPr>
              <w:adjustRightInd w:val="0"/>
              <w:snapToGrid w:val="0"/>
              <w:spacing w:line="240" w:lineRule="auto"/>
              <w:rPr>
                <w:rFonts w:ascii="宋体" w:hAnsi="宋体" w:eastAsia="宋体" w:cs="宋体"/>
                <w:sz w:val="21"/>
                <w:szCs w:val="21"/>
              </w:rPr>
            </w:pPr>
            <w:r>
              <w:rPr>
                <w:rFonts w:hint="eastAsia" w:ascii="宋体" w:hAnsi="宋体" w:eastAsia="宋体" w:cs="宋体"/>
                <w:sz w:val="21"/>
                <w:szCs w:val="21"/>
              </w:rPr>
              <w:t>（注：提供上述在有效期内的认证证书扫描件及“国家认证认可监督管理委员（http://www.cnca.gov.cn）”的全国认证认可信息公共服务平台上查询到的在有效期的官网截图打印件。）</w:t>
            </w:r>
          </w:p>
        </w:tc>
      </w:tr>
      <w:tr w14:paraId="3782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690" w:type="dxa"/>
            <w:tcBorders>
              <w:left w:val="single" w:color="auto" w:sz="4" w:space="0"/>
              <w:bottom w:val="single" w:color="auto" w:sz="4" w:space="0"/>
              <w:right w:val="single" w:color="auto" w:sz="4" w:space="0"/>
            </w:tcBorders>
            <w:vAlign w:val="center"/>
          </w:tcPr>
          <w:p w14:paraId="171C5C18">
            <w:pPr>
              <w:pStyle w:val="9"/>
              <w:spacing w:line="240" w:lineRule="auto"/>
              <w:ind w:firstLine="0" w:firstLineChars="0"/>
              <w:jc w:val="center"/>
              <w:rPr>
                <w:sz w:val="21"/>
                <w:szCs w:val="21"/>
              </w:rPr>
            </w:pPr>
            <w:r>
              <w:rPr>
                <w:rFonts w:hint="eastAsia" w:ascii="宋体" w:eastAsia="宋体" w:cs="宋体"/>
                <w:sz w:val="21"/>
                <w:szCs w:val="21"/>
              </w:rPr>
              <w:t>2</w:t>
            </w:r>
          </w:p>
        </w:tc>
        <w:tc>
          <w:tcPr>
            <w:tcW w:w="1347" w:type="dxa"/>
            <w:tcBorders>
              <w:left w:val="single" w:color="auto" w:sz="4" w:space="0"/>
              <w:bottom w:val="single" w:color="auto" w:sz="4" w:space="0"/>
              <w:right w:val="single" w:color="auto" w:sz="4" w:space="0"/>
            </w:tcBorders>
            <w:vAlign w:val="center"/>
          </w:tcPr>
          <w:p w14:paraId="5777560E">
            <w:pPr>
              <w:spacing w:line="240" w:lineRule="auto"/>
              <w:jc w:val="center"/>
              <w:rPr>
                <w:sz w:val="21"/>
                <w:szCs w:val="21"/>
              </w:rPr>
            </w:pPr>
            <w:r>
              <w:rPr>
                <w:rFonts w:hint="eastAsia" w:ascii="宋体" w:hAnsi="宋体" w:cs="宋体"/>
                <w:color w:val="000000"/>
                <w:kern w:val="0"/>
              </w:rPr>
              <w:t>项目经理资质</w:t>
            </w:r>
          </w:p>
        </w:tc>
        <w:tc>
          <w:tcPr>
            <w:tcW w:w="737" w:type="dxa"/>
            <w:tcBorders>
              <w:left w:val="single" w:color="auto" w:sz="4" w:space="0"/>
              <w:bottom w:val="single" w:color="auto" w:sz="4" w:space="0"/>
              <w:right w:val="single" w:color="auto" w:sz="4" w:space="0"/>
            </w:tcBorders>
            <w:vAlign w:val="center"/>
          </w:tcPr>
          <w:p w14:paraId="1EBD12E2">
            <w:pPr>
              <w:spacing w:line="240" w:lineRule="auto"/>
              <w:jc w:val="center"/>
              <w:rPr>
                <w:rFonts w:hint="default" w:eastAsiaTheme="minorEastAsia"/>
                <w:sz w:val="21"/>
                <w:szCs w:val="21"/>
                <w:lang w:val="en-US" w:eastAsia="zh-CN"/>
              </w:rPr>
            </w:pPr>
            <w:r>
              <w:rPr>
                <w:rFonts w:hint="eastAsia"/>
                <w:sz w:val="21"/>
                <w:szCs w:val="21"/>
                <w:lang w:val="en-US" w:eastAsia="zh-CN"/>
              </w:rPr>
              <w:t>2</w:t>
            </w:r>
          </w:p>
        </w:tc>
        <w:tc>
          <w:tcPr>
            <w:tcW w:w="6962" w:type="dxa"/>
            <w:tcBorders>
              <w:top w:val="single" w:color="auto" w:sz="4" w:space="0"/>
              <w:left w:val="single" w:color="auto" w:sz="4" w:space="0"/>
              <w:bottom w:val="single" w:color="auto" w:sz="4" w:space="0"/>
              <w:right w:val="single" w:color="auto" w:sz="4" w:space="0"/>
            </w:tcBorders>
            <w:vAlign w:val="center"/>
          </w:tcPr>
          <w:p w14:paraId="6BC3061E">
            <w:pPr>
              <w:spacing w:line="240" w:lineRule="auto"/>
              <w:jc w:val="left"/>
              <w:rPr>
                <w:rFonts w:hint="eastAsia" w:ascii="宋体" w:hAnsi="宋体"/>
                <w:snapToGrid w:val="0"/>
                <w:sz w:val="21"/>
                <w:szCs w:val="21"/>
              </w:rPr>
            </w:pPr>
            <w:r>
              <w:rPr>
                <w:rFonts w:hint="eastAsia" w:ascii="宋体" w:hAnsi="宋体"/>
                <w:snapToGrid w:val="0"/>
                <w:sz w:val="21"/>
                <w:szCs w:val="21"/>
                <w:lang w:eastAsia="zh-CN"/>
              </w:rPr>
              <w:t>三</w:t>
            </w:r>
            <w:r>
              <w:rPr>
                <w:rFonts w:hint="eastAsia" w:ascii="宋体" w:hAnsi="宋体"/>
                <w:snapToGrid w:val="0"/>
                <w:sz w:val="21"/>
                <w:szCs w:val="21"/>
              </w:rPr>
              <w:t>年或以上物业项目负责人工作经验，得</w:t>
            </w:r>
            <w:r>
              <w:rPr>
                <w:rFonts w:hint="eastAsia" w:ascii="宋体" w:hAnsi="宋体"/>
                <w:snapToGrid w:val="0"/>
                <w:sz w:val="21"/>
                <w:szCs w:val="21"/>
                <w:lang w:val="en-US" w:eastAsia="zh-CN"/>
              </w:rPr>
              <w:t>2</w:t>
            </w:r>
            <w:r>
              <w:rPr>
                <w:rFonts w:hint="eastAsia" w:ascii="宋体" w:hAnsi="宋体"/>
                <w:snapToGrid w:val="0"/>
                <w:sz w:val="21"/>
                <w:szCs w:val="21"/>
              </w:rPr>
              <w:t>分。</w:t>
            </w:r>
          </w:p>
          <w:p w14:paraId="4DE58D76">
            <w:pPr>
              <w:spacing w:line="240" w:lineRule="auto"/>
              <w:jc w:val="left"/>
              <w:rPr>
                <w:rFonts w:ascii="宋体" w:hAnsi="宋体"/>
                <w:snapToGrid w:val="0"/>
                <w:sz w:val="21"/>
                <w:szCs w:val="21"/>
              </w:rPr>
            </w:pPr>
            <w:r>
              <w:rPr>
                <w:rFonts w:hint="eastAsia" w:ascii="宋体" w:hAnsi="宋体"/>
                <w:snapToGrid w:val="0"/>
                <w:sz w:val="21"/>
                <w:szCs w:val="21"/>
              </w:rPr>
              <w:t>注：须按照要求提供相关证明材料，及其在投标单位2021年1月以来任意连续一个月的社保证明，否则相应项不得分。</w:t>
            </w:r>
          </w:p>
        </w:tc>
      </w:tr>
      <w:tr w14:paraId="2A67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8570A96">
            <w:pPr>
              <w:spacing w:line="240" w:lineRule="auto"/>
              <w:jc w:val="left"/>
              <w:rPr>
                <w:rFonts w:ascii="宋体" w:hAnsi="宋体" w:eastAsia="宋体" w:cs="宋体"/>
                <w:sz w:val="21"/>
                <w:szCs w:val="21"/>
              </w:rPr>
            </w:pPr>
            <w:r>
              <w:rPr>
                <w:rFonts w:hint="eastAsia" w:ascii="宋体" w:hAnsi="宋体" w:eastAsia="宋体" w:cs="宋体"/>
                <w:sz w:val="21"/>
                <w:szCs w:val="21"/>
              </w:rPr>
              <w:t>3</w:t>
            </w:r>
          </w:p>
        </w:tc>
        <w:tc>
          <w:tcPr>
            <w:tcW w:w="1347" w:type="dxa"/>
            <w:tcBorders>
              <w:top w:val="single" w:color="auto" w:sz="4" w:space="0"/>
              <w:left w:val="single" w:color="auto" w:sz="4" w:space="0"/>
              <w:bottom w:val="single" w:color="auto" w:sz="4" w:space="0"/>
              <w:right w:val="single" w:color="auto" w:sz="4" w:space="0"/>
            </w:tcBorders>
            <w:vAlign w:val="center"/>
          </w:tcPr>
          <w:p w14:paraId="704E72C4">
            <w:pPr>
              <w:spacing w:line="240" w:lineRule="auto"/>
              <w:ind w:firstLine="210" w:firstLineChars="100"/>
              <w:jc w:val="left"/>
              <w:rPr>
                <w:rFonts w:ascii="宋体" w:hAnsi="宋体" w:eastAsia="宋体" w:cs="宋体"/>
                <w:sz w:val="21"/>
                <w:szCs w:val="21"/>
              </w:rPr>
            </w:pPr>
            <w:r>
              <w:rPr>
                <w:rFonts w:hint="eastAsia" w:ascii="宋体" w:hAnsi="宋体" w:eastAsia="宋体" w:cs="宋体"/>
                <w:sz w:val="21"/>
                <w:szCs w:val="21"/>
              </w:rPr>
              <w:t>项目业绩</w:t>
            </w:r>
          </w:p>
        </w:tc>
        <w:tc>
          <w:tcPr>
            <w:tcW w:w="737" w:type="dxa"/>
            <w:tcBorders>
              <w:top w:val="single" w:color="auto" w:sz="4" w:space="0"/>
              <w:left w:val="single" w:color="auto" w:sz="4" w:space="0"/>
              <w:bottom w:val="single" w:color="auto" w:sz="4" w:space="0"/>
              <w:right w:val="single" w:color="auto" w:sz="4" w:space="0"/>
            </w:tcBorders>
            <w:vAlign w:val="center"/>
          </w:tcPr>
          <w:p w14:paraId="7A1B4876">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962" w:type="dxa"/>
            <w:tcBorders>
              <w:top w:val="single" w:color="auto" w:sz="4" w:space="0"/>
              <w:left w:val="single" w:color="auto" w:sz="4" w:space="0"/>
              <w:bottom w:val="single" w:color="auto" w:sz="4" w:space="0"/>
              <w:right w:val="single" w:color="auto" w:sz="4" w:space="0"/>
            </w:tcBorders>
            <w:vAlign w:val="center"/>
          </w:tcPr>
          <w:p w14:paraId="5C9706DA">
            <w:pPr>
              <w:widowControl/>
              <w:spacing w:line="240" w:lineRule="auto"/>
              <w:jc w:val="left"/>
              <w:textAlignment w:val="center"/>
              <w:rPr>
                <w:rFonts w:ascii="宋体" w:hAnsi="宋体" w:cs="宋体"/>
                <w:kern w:val="0"/>
                <w:szCs w:val="21"/>
              </w:rPr>
            </w:pPr>
            <w:r>
              <w:rPr>
                <w:rFonts w:hint="eastAsia" w:ascii="宋体" w:hAnsi="宋体" w:cs="宋体"/>
                <w:kern w:val="0"/>
                <w:szCs w:val="21"/>
                <w:lang w:eastAsia="zh-CN"/>
              </w:rPr>
              <w:t>近</w:t>
            </w:r>
            <w:r>
              <w:rPr>
                <w:rFonts w:hint="eastAsia" w:ascii="宋体" w:hAnsi="宋体" w:cs="宋体"/>
                <w:kern w:val="0"/>
                <w:szCs w:val="21"/>
              </w:rPr>
              <w:t>年以来签订的物业服务项目业绩，每个得</w:t>
            </w:r>
            <w:r>
              <w:rPr>
                <w:rFonts w:hint="eastAsia" w:ascii="宋体" w:hAnsi="宋体" w:cs="宋体"/>
                <w:kern w:val="0"/>
                <w:szCs w:val="21"/>
                <w:lang w:val="en-US" w:eastAsia="zh-CN"/>
              </w:rPr>
              <w:t>2</w:t>
            </w:r>
            <w:r>
              <w:rPr>
                <w:rFonts w:hint="eastAsia" w:ascii="宋体" w:hAnsi="宋体" w:cs="宋体"/>
                <w:kern w:val="0"/>
                <w:szCs w:val="21"/>
              </w:rPr>
              <w:t>分，最高得</w:t>
            </w:r>
            <w:r>
              <w:rPr>
                <w:rFonts w:hint="eastAsia" w:ascii="宋体" w:hAnsi="宋体" w:cs="宋体"/>
                <w:kern w:val="0"/>
                <w:szCs w:val="21"/>
                <w:lang w:val="en-US" w:eastAsia="zh-CN"/>
              </w:rPr>
              <w:t>4</w:t>
            </w:r>
            <w:r>
              <w:rPr>
                <w:rFonts w:hint="eastAsia" w:ascii="宋体" w:hAnsi="宋体" w:cs="宋体"/>
                <w:kern w:val="0"/>
                <w:szCs w:val="21"/>
              </w:rPr>
              <w:t>分。</w:t>
            </w:r>
          </w:p>
          <w:p w14:paraId="30D5F3D9">
            <w:pPr>
              <w:spacing w:line="240" w:lineRule="auto"/>
              <w:jc w:val="left"/>
              <w:rPr>
                <w:rFonts w:ascii="宋体" w:hAnsi="宋体" w:eastAsia="宋体" w:cs="宋体"/>
                <w:kern w:val="0"/>
                <w:sz w:val="21"/>
                <w:szCs w:val="21"/>
              </w:rPr>
            </w:pPr>
            <w:r>
              <w:rPr>
                <w:rFonts w:hint="eastAsia" w:ascii="宋体" w:hAnsi="宋体" w:cs="宋体"/>
                <w:kern w:val="0"/>
                <w:szCs w:val="21"/>
              </w:rPr>
              <w:t>（合同须提供复印件加盖公章,以签订合同的时间为准，同一项目不同年份的合同按一份计算，不重复计算分数。）</w:t>
            </w:r>
          </w:p>
        </w:tc>
      </w:tr>
      <w:tr w14:paraId="7F35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E73AA6C">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347" w:type="dxa"/>
            <w:tcBorders>
              <w:top w:val="single" w:color="auto" w:sz="4" w:space="0"/>
              <w:left w:val="single" w:color="auto" w:sz="4" w:space="0"/>
              <w:bottom w:val="single" w:color="auto" w:sz="4" w:space="0"/>
              <w:right w:val="single" w:color="auto" w:sz="4" w:space="0"/>
            </w:tcBorders>
            <w:vAlign w:val="center"/>
          </w:tcPr>
          <w:p w14:paraId="2D186B1C">
            <w:pPr>
              <w:spacing w:line="240" w:lineRule="auto"/>
              <w:jc w:val="center"/>
              <w:rPr>
                <w:rFonts w:ascii="宋体" w:hAnsi="宋体" w:eastAsia="宋体" w:cs="宋体"/>
                <w:sz w:val="21"/>
                <w:szCs w:val="21"/>
              </w:rPr>
            </w:pPr>
            <w:r>
              <w:rPr>
                <w:rFonts w:hint="eastAsia" w:ascii="宋体" w:hAnsi="宋体" w:cs="宋体"/>
                <w:color w:val="000000"/>
                <w:kern w:val="0"/>
              </w:rPr>
              <w:t>客户评价</w:t>
            </w:r>
          </w:p>
        </w:tc>
        <w:tc>
          <w:tcPr>
            <w:tcW w:w="737" w:type="dxa"/>
            <w:tcBorders>
              <w:top w:val="single" w:color="auto" w:sz="4" w:space="0"/>
              <w:left w:val="single" w:color="auto" w:sz="4" w:space="0"/>
              <w:bottom w:val="single" w:color="auto" w:sz="4" w:space="0"/>
              <w:right w:val="single" w:color="auto" w:sz="4" w:space="0"/>
            </w:tcBorders>
            <w:vAlign w:val="center"/>
          </w:tcPr>
          <w:p w14:paraId="56AE0F9E">
            <w:pPr>
              <w:spacing w:line="240" w:lineRule="auto"/>
              <w:jc w:val="center"/>
              <w:rPr>
                <w:rFonts w:ascii="宋体" w:hAnsi="宋体" w:eastAsia="宋体" w:cs="宋体"/>
                <w:sz w:val="21"/>
                <w:szCs w:val="21"/>
              </w:rPr>
            </w:pPr>
            <w:r>
              <w:rPr>
                <w:rFonts w:hint="eastAsia" w:ascii="宋体" w:hAnsi="宋体" w:eastAsia="宋体" w:cs="宋体"/>
                <w:sz w:val="21"/>
                <w:szCs w:val="21"/>
              </w:rPr>
              <w:t>6</w:t>
            </w:r>
          </w:p>
        </w:tc>
        <w:tc>
          <w:tcPr>
            <w:tcW w:w="6962" w:type="dxa"/>
            <w:tcBorders>
              <w:top w:val="single" w:color="auto" w:sz="4" w:space="0"/>
              <w:left w:val="single" w:color="auto" w:sz="4" w:space="0"/>
              <w:bottom w:val="single" w:color="auto" w:sz="4" w:space="0"/>
              <w:right w:val="single" w:color="auto" w:sz="4" w:space="0"/>
            </w:tcBorders>
            <w:vAlign w:val="center"/>
          </w:tcPr>
          <w:p w14:paraId="2C9BBC8C">
            <w:pPr>
              <w:spacing w:line="240" w:lineRule="auto"/>
              <w:jc w:val="left"/>
              <w:rPr>
                <w:rFonts w:ascii="宋体" w:hAnsi="宋体" w:eastAsia="宋体" w:cs="宋体"/>
                <w:sz w:val="21"/>
                <w:szCs w:val="21"/>
              </w:rPr>
            </w:pPr>
            <w:r>
              <w:rPr>
                <w:rFonts w:hint="eastAsia" w:ascii="宋体" w:hAnsi="宋体" w:eastAsia="宋体" w:cs="宋体"/>
                <w:sz w:val="21"/>
                <w:szCs w:val="21"/>
                <w:lang w:eastAsia="zh-CN"/>
              </w:rPr>
              <w:t>近</w:t>
            </w:r>
            <w:r>
              <w:rPr>
                <w:rFonts w:hint="eastAsia" w:ascii="宋体" w:hAnsi="宋体" w:eastAsia="宋体" w:cs="宋体"/>
                <w:sz w:val="21"/>
                <w:szCs w:val="21"/>
              </w:rPr>
              <w:t>年以来签订的物业服务项目（必须为以上业绩情况中有效计分的业绩），获得项目用户考核评价为正面评价（优秀、优良、良好、满意或相当于类似评价），每份得</w:t>
            </w:r>
            <w:r>
              <w:rPr>
                <w:rFonts w:hint="eastAsia" w:ascii="宋体" w:hAnsi="宋体" w:eastAsia="宋体" w:cs="宋体"/>
                <w:sz w:val="21"/>
                <w:szCs w:val="21"/>
                <w:lang w:val="en-US" w:eastAsia="zh-CN"/>
              </w:rPr>
              <w:t>2</w:t>
            </w:r>
            <w:r>
              <w:rPr>
                <w:rFonts w:hint="eastAsia" w:ascii="宋体" w:hAnsi="宋体" w:eastAsia="宋体" w:cs="宋体"/>
                <w:sz w:val="21"/>
                <w:szCs w:val="21"/>
              </w:rPr>
              <w:t>分，最高</w:t>
            </w:r>
            <w:r>
              <w:rPr>
                <w:rFonts w:hint="eastAsia" w:ascii="宋体" w:hAnsi="宋体" w:eastAsia="宋体" w:cs="宋体"/>
                <w:sz w:val="21"/>
                <w:szCs w:val="21"/>
                <w:lang w:val="en-US" w:eastAsia="zh-CN"/>
              </w:rPr>
              <w:t>6</w:t>
            </w:r>
            <w:r>
              <w:rPr>
                <w:rFonts w:hint="eastAsia" w:ascii="宋体" w:hAnsi="宋体" w:eastAsia="宋体" w:cs="宋体"/>
                <w:sz w:val="21"/>
                <w:szCs w:val="21"/>
              </w:rPr>
              <w:t>分，同一项目不同年份的评价按一份计算，不重复计算分数（注：提供合同甲方或甲方项目主管部门盖章的评价文件，不提供不得分）。</w:t>
            </w:r>
          </w:p>
        </w:tc>
      </w:tr>
      <w:tr w14:paraId="7D05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84C6BA8">
            <w:pPr>
              <w:pStyle w:val="9"/>
              <w:spacing w:line="240" w:lineRule="auto"/>
              <w:ind w:firstLine="0" w:firstLineChars="0"/>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347" w:type="dxa"/>
            <w:tcBorders>
              <w:top w:val="single" w:color="auto" w:sz="4" w:space="0"/>
              <w:left w:val="single" w:color="auto" w:sz="4" w:space="0"/>
              <w:bottom w:val="single" w:color="auto" w:sz="4" w:space="0"/>
              <w:right w:val="single" w:color="auto" w:sz="4" w:space="0"/>
            </w:tcBorders>
            <w:vAlign w:val="center"/>
          </w:tcPr>
          <w:p w14:paraId="47DC7572">
            <w:pPr>
              <w:spacing w:line="240" w:lineRule="auto"/>
              <w:jc w:val="center"/>
              <w:rPr>
                <w:rFonts w:ascii="宋体" w:hAnsi="宋体" w:eastAsia="宋体" w:cs="宋体"/>
                <w:sz w:val="21"/>
                <w:szCs w:val="21"/>
              </w:rPr>
            </w:pPr>
            <w:r>
              <w:rPr>
                <w:rFonts w:hint="eastAsia" w:asciiTheme="minorEastAsia" w:hAnsiTheme="minorEastAsia" w:cstheme="minorEastAsia"/>
                <w:color w:val="auto"/>
                <w:kern w:val="2"/>
                <w:sz w:val="21"/>
                <w:szCs w:val="21"/>
                <w:lang w:eastAsia="zh-CN"/>
              </w:rPr>
              <w:t>所投项目</w:t>
            </w:r>
            <w:r>
              <w:rPr>
                <w:rFonts w:asciiTheme="minorEastAsia" w:hAnsiTheme="minorEastAsia" w:eastAsiaTheme="minorEastAsia" w:cstheme="minorEastAsia"/>
                <w:color w:val="auto"/>
                <w:kern w:val="2"/>
                <w:sz w:val="21"/>
                <w:szCs w:val="21"/>
              </w:rPr>
              <w:t>对用户需求书中</w:t>
            </w:r>
            <w:r>
              <w:rPr>
                <w:rFonts w:hint="eastAsia" w:asciiTheme="minorEastAsia" w:hAnsiTheme="minorEastAsia" w:cstheme="minorEastAsia"/>
                <w:color w:val="auto"/>
                <w:kern w:val="2"/>
                <w:sz w:val="21"/>
                <w:szCs w:val="21"/>
                <w:lang w:eastAsia="zh-CN"/>
              </w:rPr>
              <w:t>的承诺</w:t>
            </w:r>
            <w:r>
              <w:rPr>
                <w:rFonts w:asciiTheme="minorEastAsia" w:hAnsiTheme="minorEastAsia" w:eastAsiaTheme="minorEastAsia" w:cstheme="minorEastAsia"/>
                <w:color w:val="auto"/>
                <w:kern w:val="2"/>
                <w:sz w:val="21"/>
                <w:szCs w:val="21"/>
              </w:rPr>
              <w:t>符合性</w:t>
            </w:r>
          </w:p>
        </w:tc>
        <w:tc>
          <w:tcPr>
            <w:tcW w:w="737" w:type="dxa"/>
            <w:tcBorders>
              <w:top w:val="single" w:color="auto" w:sz="4" w:space="0"/>
              <w:left w:val="single" w:color="auto" w:sz="4" w:space="0"/>
              <w:bottom w:val="single" w:color="auto" w:sz="4" w:space="0"/>
              <w:right w:val="single" w:color="auto" w:sz="4" w:space="0"/>
            </w:tcBorders>
            <w:vAlign w:val="center"/>
          </w:tcPr>
          <w:p w14:paraId="3CFDC152">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962" w:type="dxa"/>
            <w:tcBorders>
              <w:top w:val="single" w:color="auto" w:sz="4" w:space="0"/>
              <w:left w:val="single" w:color="auto" w:sz="4" w:space="0"/>
              <w:bottom w:val="single" w:color="auto" w:sz="4" w:space="0"/>
              <w:right w:val="single" w:color="auto" w:sz="4" w:space="0"/>
            </w:tcBorders>
            <w:vAlign w:val="center"/>
          </w:tcPr>
          <w:p w14:paraId="2A4BB632">
            <w:pPr>
              <w:spacing w:line="240" w:lineRule="auto"/>
              <w:jc w:val="left"/>
              <w:rPr>
                <w:rFonts w:hint="eastAsia"/>
                <w:lang w:eastAsia="zh-CN"/>
              </w:rPr>
            </w:pPr>
            <w:r>
              <w:rPr>
                <w:rFonts w:hint="eastAsia"/>
              </w:rPr>
              <w:t>所投</w:t>
            </w:r>
            <w:r>
              <w:rPr>
                <w:rFonts w:hint="eastAsia"/>
                <w:lang w:eastAsia="zh-CN"/>
              </w:rPr>
              <w:t>项目需求满足标书中“采购项目商务要</w:t>
            </w:r>
            <w:bookmarkStart w:id="0" w:name="_GoBack"/>
            <w:bookmarkEnd w:id="0"/>
            <w:r>
              <w:rPr>
                <w:rFonts w:hint="eastAsia"/>
                <w:lang w:eastAsia="zh-CN"/>
              </w:rPr>
              <w:t>求基本要求、总体要求”，每满足一项加</w:t>
            </w:r>
            <w:r>
              <w:rPr>
                <w:rFonts w:hint="eastAsia"/>
                <w:lang w:val="en-US" w:eastAsia="zh-CN"/>
              </w:rPr>
              <w:t>1分，最高</w:t>
            </w:r>
            <w:r>
              <w:rPr>
                <w:rFonts w:hint="eastAsia"/>
              </w:rPr>
              <w:t>得</w:t>
            </w:r>
            <w:r>
              <w:rPr>
                <w:rFonts w:hint="eastAsia"/>
                <w:lang w:val="en-US" w:eastAsia="zh-CN"/>
              </w:rPr>
              <w:t>5</w:t>
            </w:r>
            <w:r>
              <w:rPr>
                <w:rFonts w:hint="eastAsia"/>
              </w:rPr>
              <w:t>分；</w:t>
            </w:r>
            <w:r>
              <w:rPr>
                <w:rFonts w:hint="eastAsia"/>
                <w:lang w:eastAsia="zh-CN"/>
              </w:rPr>
              <w:t>此项</w:t>
            </w:r>
            <w:r>
              <w:rPr>
                <w:rFonts w:hint="eastAsia"/>
              </w:rPr>
              <w:t>不响应带▲号</w:t>
            </w:r>
            <w:r>
              <w:rPr>
                <w:rFonts w:hint="eastAsia"/>
                <w:lang w:eastAsia="zh-CN"/>
              </w:rPr>
              <w:t>或</w:t>
            </w:r>
            <w:r>
              <w:rPr>
                <w:rFonts w:hint="eastAsia" w:ascii="宋体" w:hAnsi="宋体" w:eastAsia="宋体" w:cs="宋体"/>
                <w:b/>
                <w:szCs w:val="21"/>
              </w:rPr>
              <w:t>★</w:t>
            </w:r>
            <w:r>
              <w:rPr>
                <w:rFonts w:hint="eastAsia" w:ascii="宋体" w:hAnsi="宋体" w:eastAsia="宋体" w:cs="宋体"/>
                <w:b w:val="0"/>
                <w:bCs/>
                <w:szCs w:val="21"/>
                <w:lang w:eastAsia="zh-CN"/>
              </w:rPr>
              <w:t>号</w:t>
            </w:r>
            <w:r>
              <w:rPr>
                <w:rFonts w:hint="eastAsia"/>
              </w:rPr>
              <w:t>的</w:t>
            </w:r>
            <w:r>
              <w:rPr>
                <w:rFonts w:hint="eastAsia"/>
                <w:lang w:eastAsia="zh-CN"/>
              </w:rPr>
              <w:t>需求的得</w:t>
            </w:r>
            <w:r>
              <w:rPr>
                <w:rFonts w:hint="eastAsia"/>
                <w:lang w:val="en-US" w:eastAsia="zh-CN"/>
              </w:rPr>
              <w:t>0</w:t>
            </w:r>
            <w:r>
              <w:rPr>
                <w:rFonts w:hint="eastAsia"/>
                <w:lang w:eastAsia="zh-CN"/>
              </w:rPr>
              <w:t>分。</w:t>
            </w:r>
          </w:p>
          <w:p w14:paraId="3DAD3627">
            <w:pPr>
              <w:spacing w:line="240" w:lineRule="auto"/>
              <w:jc w:val="left"/>
            </w:pPr>
            <w:r>
              <w:rPr>
                <w:rFonts w:hint="eastAsia" w:ascii="宋体" w:hAnsi="宋体" w:eastAsia="宋体" w:cs="宋体"/>
                <w:sz w:val="21"/>
                <w:szCs w:val="21"/>
              </w:rPr>
              <w:t>此项最高分不超过</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tc>
      </w:tr>
      <w:tr w14:paraId="7C13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736" w:type="dxa"/>
            <w:gridSpan w:val="4"/>
            <w:tcBorders>
              <w:top w:val="single" w:color="auto" w:sz="4" w:space="0"/>
              <w:left w:val="single" w:color="auto" w:sz="4" w:space="0"/>
              <w:bottom w:val="single" w:color="auto" w:sz="4" w:space="0"/>
              <w:right w:val="single" w:color="auto" w:sz="4" w:space="0"/>
            </w:tcBorders>
            <w:vAlign w:val="center"/>
          </w:tcPr>
          <w:p w14:paraId="307805D6">
            <w:pPr>
              <w:spacing w:line="240" w:lineRule="auto"/>
              <w:jc w:val="center"/>
              <w:rPr>
                <w:rFonts w:ascii="宋体" w:hAnsi="宋体" w:eastAsia="宋体" w:cs="宋体"/>
                <w:sz w:val="21"/>
                <w:szCs w:val="21"/>
              </w:rPr>
            </w:pPr>
            <w:r>
              <w:rPr>
                <w:rFonts w:hint="eastAsia" w:asciiTheme="minorEastAsia" w:hAnsiTheme="minorEastAsia" w:cstheme="minorEastAsia"/>
                <w:b/>
                <w:sz w:val="21"/>
                <w:szCs w:val="21"/>
              </w:rPr>
              <w:t>技术评分（</w:t>
            </w:r>
            <w:r>
              <w:rPr>
                <w:rFonts w:hint="eastAsia" w:asciiTheme="minorEastAsia" w:hAnsiTheme="minorEastAsia" w:cstheme="minorEastAsia"/>
                <w:b/>
                <w:sz w:val="21"/>
                <w:szCs w:val="21"/>
                <w:lang w:val="en-US" w:eastAsia="zh-CN"/>
              </w:rPr>
              <w:t>20</w:t>
            </w:r>
            <w:r>
              <w:rPr>
                <w:rFonts w:hint="eastAsia" w:asciiTheme="minorEastAsia" w:hAnsiTheme="minorEastAsia" w:cstheme="minorEastAsia"/>
                <w:b/>
                <w:sz w:val="21"/>
                <w:szCs w:val="21"/>
              </w:rPr>
              <w:t>分）</w:t>
            </w:r>
          </w:p>
        </w:tc>
      </w:tr>
      <w:tr w14:paraId="645C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BF31317">
            <w:pPr>
              <w:tabs>
                <w:tab w:val="left" w:pos="8610"/>
              </w:tabs>
              <w:spacing w:line="240" w:lineRule="auto"/>
              <w:ind w:firstLine="210" w:firstLineChars="100"/>
              <w:rPr>
                <w:rFonts w:ascii="宋体" w:hAnsi="宋体" w:cs="宋体"/>
                <w:sz w:val="21"/>
                <w:szCs w:val="21"/>
              </w:rPr>
            </w:pPr>
            <w:r>
              <w:rPr>
                <w:rFonts w:hint="eastAsia" w:asciiTheme="minorEastAsia" w:hAnsiTheme="minorEastAsia" w:cstheme="minorEastAsia"/>
                <w:sz w:val="21"/>
                <w:szCs w:val="21"/>
              </w:rPr>
              <w:t>1</w:t>
            </w:r>
          </w:p>
        </w:tc>
        <w:tc>
          <w:tcPr>
            <w:tcW w:w="1347" w:type="dxa"/>
            <w:tcBorders>
              <w:top w:val="single" w:color="auto" w:sz="4" w:space="0"/>
              <w:left w:val="single" w:color="auto" w:sz="4" w:space="0"/>
              <w:bottom w:val="single" w:color="auto" w:sz="4" w:space="0"/>
              <w:right w:val="single" w:color="auto" w:sz="4" w:space="0"/>
            </w:tcBorders>
            <w:vAlign w:val="center"/>
          </w:tcPr>
          <w:p w14:paraId="05F40C3C">
            <w:pPr>
              <w:spacing w:line="240" w:lineRule="auto"/>
              <w:jc w:val="center"/>
              <w:rPr>
                <w:rFonts w:ascii="宋体" w:hAnsi="宋体" w:eastAsia="宋体" w:cs="宋体"/>
                <w:sz w:val="21"/>
                <w:szCs w:val="21"/>
              </w:rPr>
            </w:pPr>
            <w:r>
              <w:rPr>
                <w:rFonts w:hint="eastAsia" w:ascii="宋体" w:hAnsi="宋体" w:cs="宋体"/>
                <w:kern w:val="0"/>
              </w:rPr>
              <w:t>突发事件应急响应能力</w:t>
            </w:r>
          </w:p>
        </w:tc>
        <w:tc>
          <w:tcPr>
            <w:tcW w:w="737" w:type="dxa"/>
            <w:tcBorders>
              <w:top w:val="single" w:color="auto" w:sz="4" w:space="0"/>
              <w:left w:val="single" w:color="auto" w:sz="4" w:space="0"/>
              <w:bottom w:val="single" w:color="auto" w:sz="4" w:space="0"/>
              <w:right w:val="single" w:color="auto" w:sz="4" w:space="0"/>
            </w:tcBorders>
            <w:vAlign w:val="center"/>
          </w:tcPr>
          <w:p w14:paraId="7ECD776B">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962" w:type="dxa"/>
            <w:tcBorders>
              <w:top w:val="single" w:color="auto" w:sz="4" w:space="0"/>
              <w:left w:val="single" w:color="auto" w:sz="4" w:space="0"/>
              <w:bottom w:val="single" w:color="auto" w:sz="4" w:space="0"/>
              <w:right w:val="single" w:color="auto" w:sz="4" w:space="0"/>
            </w:tcBorders>
            <w:vAlign w:val="center"/>
          </w:tcPr>
          <w:p w14:paraId="5AEC0889">
            <w:pPr>
              <w:spacing w:line="240" w:lineRule="auto"/>
              <w:jc w:val="left"/>
              <w:rPr>
                <w:rFonts w:ascii="宋体" w:hAnsi="宋体" w:eastAsia="宋体" w:cs="宋体"/>
                <w:sz w:val="21"/>
                <w:szCs w:val="21"/>
              </w:rPr>
            </w:pPr>
            <w:r>
              <w:rPr>
                <w:rFonts w:hint="eastAsia" w:ascii="宋体" w:hAnsi="宋体" w:eastAsia="宋体" w:cs="宋体"/>
                <w:sz w:val="21"/>
                <w:szCs w:val="21"/>
              </w:rPr>
              <w:t>针对医疗纠纷、自然灾害、突发治安事件及公共卫生事件（如疫情防控）等应急预案进行评审：</w:t>
            </w:r>
          </w:p>
          <w:p w14:paraId="40C9B4DB">
            <w:pPr>
              <w:spacing w:line="240" w:lineRule="auto"/>
              <w:jc w:val="left"/>
              <w:rPr>
                <w:rFonts w:ascii="宋体" w:hAnsi="宋体" w:eastAsia="宋体" w:cs="宋体"/>
                <w:sz w:val="21"/>
                <w:szCs w:val="21"/>
              </w:rPr>
            </w:pPr>
            <w:r>
              <w:rPr>
                <w:rFonts w:hint="eastAsia" w:ascii="宋体" w:hAnsi="宋体" w:eastAsia="宋体" w:cs="宋体"/>
                <w:sz w:val="21"/>
                <w:szCs w:val="21"/>
              </w:rPr>
              <w:t>1、预案科学合理、内容完整、详细、切实可行，得</w:t>
            </w: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分； </w:t>
            </w:r>
          </w:p>
          <w:p w14:paraId="38CF3707">
            <w:pPr>
              <w:spacing w:line="240" w:lineRule="auto"/>
              <w:jc w:val="left"/>
              <w:rPr>
                <w:rFonts w:ascii="宋体" w:hAnsi="宋体" w:eastAsia="宋体" w:cs="宋体"/>
                <w:sz w:val="21"/>
                <w:szCs w:val="21"/>
              </w:rPr>
            </w:pPr>
            <w:r>
              <w:rPr>
                <w:rFonts w:hint="eastAsia" w:ascii="宋体" w:hAnsi="宋体" w:eastAsia="宋体" w:cs="宋体"/>
                <w:sz w:val="21"/>
                <w:szCs w:val="21"/>
              </w:rPr>
              <w:t>2、预案比较科学合理、内容比较完整、详细、可行，得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14:paraId="12E21367">
            <w:pPr>
              <w:spacing w:line="240" w:lineRule="auto"/>
              <w:jc w:val="left"/>
              <w:rPr>
                <w:rFonts w:ascii="宋体" w:hAnsi="宋体" w:eastAsia="宋体" w:cs="宋体"/>
                <w:sz w:val="21"/>
                <w:szCs w:val="21"/>
              </w:rPr>
            </w:pPr>
            <w:r>
              <w:rPr>
                <w:rFonts w:hint="eastAsia" w:ascii="宋体" w:hAnsi="宋体" w:eastAsia="宋体" w:cs="宋体"/>
                <w:sz w:val="21"/>
                <w:szCs w:val="21"/>
              </w:rPr>
              <w:t>3、 预案基本科学合理、内容基本完整、可行，得</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14:paraId="2A1CDCA0">
            <w:pPr>
              <w:spacing w:line="240" w:lineRule="auto"/>
              <w:jc w:val="left"/>
              <w:rPr>
                <w:rFonts w:ascii="宋体" w:hAnsi="宋体" w:eastAsia="宋体" w:cs="宋体"/>
                <w:sz w:val="21"/>
                <w:szCs w:val="21"/>
              </w:rPr>
            </w:pPr>
            <w:r>
              <w:rPr>
                <w:rFonts w:hint="eastAsia" w:ascii="宋体" w:hAnsi="宋体" w:eastAsia="宋体" w:cs="宋体"/>
                <w:sz w:val="21"/>
                <w:szCs w:val="21"/>
              </w:rPr>
              <w:t>4、不提供不得分。</w:t>
            </w:r>
            <w:r>
              <w:rPr>
                <w:rFonts w:ascii="宋体" w:hAnsi="宋体" w:eastAsia="宋体" w:cs="宋体"/>
                <w:sz w:val="21"/>
                <w:szCs w:val="21"/>
              </w:rPr>
              <w:t xml:space="preserve"> </w:t>
            </w:r>
          </w:p>
        </w:tc>
      </w:tr>
    </w:tbl>
    <w:p w14:paraId="2A6EEE55"/>
    <w:tbl>
      <w:tblPr>
        <w:tblStyle w:val="6"/>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347"/>
        <w:gridCol w:w="737"/>
        <w:gridCol w:w="6962"/>
      </w:tblGrid>
      <w:tr w14:paraId="5D92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B6C8C09">
            <w:pPr>
              <w:tabs>
                <w:tab w:val="left" w:pos="8610"/>
              </w:tabs>
              <w:spacing w:line="240" w:lineRule="auto"/>
              <w:ind w:firstLine="210" w:firstLineChars="100"/>
              <w:rPr>
                <w:rFonts w:asciiTheme="minorEastAsia" w:hAnsiTheme="minorEastAsia" w:cstheme="minorEastAsia"/>
                <w:sz w:val="21"/>
                <w:szCs w:val="21"/>
              </w:rPr>
            </w:pPr>
            <w:r>
              <w:rPr>
                <w:rFonts w:hint="eastAsia" w:asciiTheme="minorEastAsia" w:hAnsiTheme="minorEastAsia" w:cstheme="minorEastAsia"/>
                <w:sz w:val="21"/>
                <w:szCs w:val="21"/>
              </w:rPr>
              <w:t>2</w:t>
            </w:r>
          </w:p>
        </w:tc>
        <w:tc>
          <w:tcPr>
            <w:tcW w:w="1347" w:type="dxa"/>
            <w:tcBorders>
              <w:top w:val="single" w:color="auto" w:sz="4" w:space="0"/>
              <w:left w:val="single" w:color="auto" w:sz="4" w:space="0"/>
              <w:bottom w:val="single" w:color="auto" w:sz="4" w:space="0"/>
              <w:right w:val="single" w:color="auto" w:sz="4" w:space="0"/>
            </w:tcBorders>
            <w:vAlign w:val="center"/>
          </w:tcPr>
          <w:p w14:paraId="70D4E6F1">
            <w:pPr>
              <w:widowControl/>
              <w:spacing w:line="240" w:lineRule="auto"/>
              <w:jc w:val="center"/>
              <w:rPr>
                <w:rFonts w:ascii="宋体" w:hAnsi="宋体" w:eastAsia="宋体" w:cs="宋体"/>
                <w:sz w:val="21"/>
                <w:szCs w:val="21"/>
              </w:rPr>
            </w:pPr>
            <w:r>
              <w:rPr>
                <w:rFonts w:hint="eastAsia" w:ascii="宋体" w:hAnsi="宋体" w:eastAsia="宋体" w:cs="宋体"/>
                <w:sz w:val="21"/>
                <w:szCs w:val="21"/>
              </w:rPr>
              <w:t>物业服务</w:t>
            </w:r>
          </w:p>
          <w:p w14:paraId="5E90A52E">
            <w:pPr>
              <w:widowControl/>
              <w:spacing w:line="240" w:lineRule="auto"/>
              <w:jc w:val="center"/>
              <w:rPr>
                <w:rFonts w:ascii="宋体" w:hAnsi="宋体" w:eastAsia="宋体" w:cs="宋体"/>
                <w:sz w:val="21"/>
                <w:szCs w:val="21"/>
              </w:rPr>
            </w:pPr>
            <w:r>
              <w:rPr>
                <w:rFonts w:hint="eastAsia" w:ascii="宋体" w:hAnsi="宋体" w:eastAsia="宋体" w:cs="宋体"/>
                <w:sz w:val="21"/>
                <w:szCs w:val="21"/>
              </w:rPr>
              <w:t>方案</w:t>
            </w:r>
          </w:p>
        </w:tc>
        <w:tc>
          <w:tcPr>
            <w:tcW w:w="737" w:type="dxa"/>
            <w:tcBorders>
              <w:top w:val="single" w:color="auto" w:sz="4" w:space="0"/>
              <w:left w:val="single" w:color="auto" w:sz="4" w:space="0"/>
              <w:bottom w:val="single" w:color="auto" w:sz="4" w:space="0"/>
              <w:right w:val="single" w:color="auto" w:sz="4" w:space="0"/>
            </w:tcBorders>
            <w:vAlign w:val="center"/>
          </w:tcPr>
          <w:p w14:paraId="491F35FA">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962" w:type="dxa"/>
            <w:tcBorders>
              <w:top w:val="single" w:color="auto" w:sz="4" w:space="0"/>
              <w:left w:val="single" w:color="auto" w:sz="4" w:space="0"/>
              <w:bottom w:val="single" w:color="auto" w:sz="4" w:space="0"/>
              <w:right w:val="single" w:color="auto" w:sz="4" w:space="0"/>
            </w:tcBorders>
            <w:vAlign w:val="center"/>
          </w:tcPr>
          <w:p w14:paraId="7106D260">
            <w:pPr>
              <w:widowControl/>
              <w:spacing w:line="240" w:lineRule="auto"/>
              <w:textAlignment w:val="center"/>
              <w:rPr>
                <w:rFonts w:ascii="宋体" w:hAnsi="宋体"/>
                <w:szCs w:val="21"/>
              </w:rPr>
            </w:pPr>
            <w:r>
              <w:rPr>
                <w:rFonts w:hint="eastAsia" w:ascii="宋体" w:hAnsi="宋体"/>
                <w:szCs w:val="21"/>
              </w:rPr>
              <w:t>提出各项物业服务（会务服务；园林绿化养护；清洁、洗衣服务</w:t>
            </w:r>
            <w:r>
              <w:rPr>
                <w:rFonts w:hint="eastAsia" w:ascii="宋体" w:hAnsi="宋体"/>
                <w:szCs w:val="21"/>
                <w:lang w:eastAsia="zh-CN"/>
              </w:rPr>
              <w:t>等</w:t>
            </w:r>
            <w:r>
              <w:rPr>
                <w:rFonts w:hint="eastAsia" w:ascii="宋体" w:hAnsi="宋体"/>
                <w:szCs w:val="21"/>
              </w:rPr>
              <w:t>）的具体管理方案、服务措施。</w:t>
            </w:r>
          </w:p>
          <w:p w14:paraId="6D26B247">
            <w:pPr>
              <w:widowControl/>
              <w:spacing w:line="240" w:lineRule="auto"/>
              <w:textAlignment w:val="center"/>
              <w:rPr>
                <w:rFonts w:ascii="宋体" w:hAnsi="宋体"/>
                <w:szCs w:val="21"/>
              </w:rPr>
            </w:pPr>
            <w:r>
              <w:rPr>
                <w:rFonts w:hint="eastAsia" w:ascii="宋体" w:hAnsi="宋体"/>
                <w:szCs w:val="21"/>
              </w:rPr>
              <w:t>1、方案完整详细，科学合理，亮点多，可行性强，完全适用且优于本项目用户需求，得</w:t>
            </w:r>
            <w:r>
              <w:rPr>
                <w:rFonts w:hint="eastAsia" w:ascii="宋体" w:hAnsi="宋体"/>
                <w:szCs w:val="21"/>
                <w:lang w:val="en-US" w:eastAsia="zh-CN"/>
              </w:rPr>
              <w:t>4</w:t>
            </w:r>
            <w:r>
              <w:rPr>
                <w:rFonts w:hint="eastAsia" w:ascii="宋体" w:hAnsi="宋体"/>
                <w:szCs w:val="21"/>
              </w:rPr>
              <w:t>分；</w:t>
            </w:r>
          </w:p>
          <w:p w14:paraId="3E65FFF7">
            <w:pPr>
              <w:widowControl/>
              <w:spacing w:line="240" w:lineRule="auto"/>
              <w:textAlignment w:val="center"/>
              <w:rPr>
                <w:rFonts w:ascii="宋体" w:hAnsi="宋体"/>
                <w:szCs w:val="21"/>
              </w:rPr>
            </w:pPr>
            <w:r>
              <w:rPr>
                <w:rFonts w:hint="eastAsia" w:ascii="宋体" w:hAnsi="宋体"/>
                <w:szCs w:val="21"/>
              </w:rPr>
              <w:t>2、方案架构基本完整，较为合理，完全适用本项目用户需求，得</w:t>
            </w:r>
            <w:r>
              <w:rPr>
                <w:rFonts w:hint="eastAsia" w:ascii="宋体" w:hAnsi="宋体"/>
                <w:szCs w:val="21"/>
                <w:lang w:val="en-US" w:eastAsia="zh-CN"/>
              </w:rPr>
              <w:t>2</w:t>
            </w:r>
            <w:r>
              <w:rPr>
                <w:rFonts w:hint="eastAsia" w:ascii="宋体" w:hAnsi="宋体"/>
                <w:szCs w:val="21"/>
              </w:rPr>
              <w:t>分；</w:t>
            </w:r>
          </w:p>
          <w:p w14:paraId="37949220">
            <w:pPr>
              <w:widowControl/>
              <w:spacing w:line="240" w:lineRule="auto"/>
              <w:textAlignment w:val="center"/>
              <w:rPr>
                <w:rFonts w:ascii="宋体" w:hAnsi="宋体"/>
                <w:szCs w:val="21"/>
              </w:rPr>
            </w:pPr>
            <w:r>
              <w:rPr>
                <w:rFonts w:hint="eastAsia" w:ascii="宋体" w:hAnsi="宋体"/>
                <w:szCs w:val="21"/>
              </w:rPr>
              <w:t>3、方案架构不完整，亮点不多，针对性不强，不能完全适用本项目用户需求，得</w:t>
            </w:r>
            <w:r>
              <w:rPr>
                <w:rFonts w:hint="eastAsia" w:ascii="宋体" w:hAnsi="宋体"/>
                <w:szCs w:val="21"/>
                <w:lang w:val="en-US" w:eastAsia="zh-CN"/>
              </w:rPr>
              <w:t>1</w:t>
            </w:r>
            <w:r>
              <w:rPr>
                <w:rFonts w:hint="eastAsia" w:ascii="宋体" w:hAnsi="宋体"/>
                <w:szCs w:val="21"/>
              </w:rPr>
              <w:t>分；</w:t>
            </w:r>
          </w:p>
          <w:p w14:paraId="149D5CEA">
            <w:pPr>
              <w:spacing w:line="240" w:lineRule="auto"/>
              <w:jc w:val="left"/>
              <w:rPr>
                <w:rFonts w:hint="default" w:ascii="宋体" w:hAnsi="宋体" w:eastAsia="宋体" w:cs="宋体"/>
                <w:sz w:val="21"/>
                <w:szCs w:val="21"/>
                <w:lang w:val="en-US"/>
              </w:rPr>
            </w:pPr>
            <w:r>
              <w:rPr>
                <w:rFonts w:hint="eastAsia" w:ascii="宋体" w:hAnsi="宋体"/>
                <w:szCs w:val="21"/>
              </w:rPr>
              <w:t>4、未体现上述内容的不得分。</w:t>
            </w:r>
          </w:p>
        </w:tc>
      </w:tr>
      <w:tr w14:paraId="3FC1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C2E2F9F">
            <w:pPr>
              <w:tabs>
                <w:tab w:val="left" w:pos="8610"/>
              </w:tabs>
              <w:spacing w:line="240" w:lineRule="auto"/>
              <w:ind w:firstLine="210" w:firstLineChars="10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p>
        </w:tc>
        <w:tc>
          <w:tcPr>
            <w:tcW w:w="1347" w:type="dxa"/>
            <w:tcBorders>
              <w:top w:val="single" w:color="auto" w:sz="4" w:space="0"/>
              <w:left w:val="single" w:color="auto" w:sz="4" w:space="0"/>
              <w:bottom w:val="single" w:color="auto" w:sz="4" w:space="0"/>
              <w:right w:val="single" w:color="auto" w:sz="4" w:space="0"/>
            </w:tcBorders>
            <w:vAlign w:val="center"/>
          </w:tcPr>
          <w:p w14:paraId="2C24FEA1">
            <w:pPr>
              <w:widowControl/>
              <w:spacing w:line="240" w:lineRule="auto"/>
              <w:jc w:val="center"/>
              <w:rPr>
                <w:rFonts w:hint="eastAsia" w:ascii="宋体" w:hAnsi="宋体" w:eastAsia="宋体" w:cs="宋体"/>
                <w:sz w:val="21"/>
                <w:szCs w:val="21"/>
              </w:rPr>
            </w:pPr>
            <w:r>
              <w:rPr>
                <w:rFonts w:hint="eastAsia" w:ascii="宋体" w:hAnsi="宋体" w:cs="宋体"/>
                <w:kern w:val="0"/>
              </w:rPr>
              <w:t>运作流程和管理方式</w:t>
            </w:r>
          </w:p>
        </w:tc>
        <w:tc>
          <w:tcPr>
            <w:tcW w:w="737" w:type="dxa"/>
            <w:tcBorders>
              <w:top w:val="single" w:color="auto" w:sz="4" w:space="0"/>
              <w:left w:val="single" w:color="auto" w:sz="4" w:space="0"/>
              <w:bottom w:val="single" w:color="auto" w:sz="4" w:space="0"/>
              <w:right w:val="single" w:color="auto" w:sz="4" w:space="0"/>
            </w:tcBorders>
            <w:vAlign w:val="center"/>
          </w:tcPr>
          <w:p w14:paraId="0DC469A3">
            <w:pPr>
              <w:spacing w:line="24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962" w:type="dxa"/>
            <w:tcBorders>
              <w:top w:val="single" w:color="auto" w:sz="4" w:space="0"/>
              <w:left w:val="single" w:color="auto" w:sz="4" w:space="0"/>
              <w:bottom w:val="single" w:color="auto" w:sz="4" w:space="0"/>
              <w:right w:val="single" w:color="auto" w:sz="4" w:space="0"/>
            </w:tcBorders>
            <w:vAlign w:val="center"/>
          </w:tcPr>
          <w:p w14:paraId="5D87C598">
            <w:pPr>
              <w:widowControl/>
              <w:spacing w:line="240" w:lineRule="auto"/>
              <w:textAlignment w:val="center"/>
              <w:rPr>
                <w:rFonts w:hint="eastAsia" w:ascii="宋体" w:hAnsi="宋体"/>
                <w:szCs w:val="21"/>
                <w:lang w:eastAsia="zh-CN"/>
              </w:rPr>
            </w:pPr>
            <w:r>
              <w:rPr>
                <w:rFonts w:hint="eastAsia" w:ascii="宋体" w:hAnsi="宋体"/>
                <w:szCs w:val="21"/>
                <w:lang w:eastAsia="zh-CN"/>
              </w:rPr>
              <w:t>具备</w:t>
            </w:r>
            <w:r>
              <w:rPr>
                <w:rFonts w:hint="eastAsia" w:ascii="宋体" w:hAnsi="宋体"/>
                <w:szCs w:val="21"/>
              </w:rPr>
              <w:t>各项物业服务（园林绿化养护</w:t>
            </w:r>
            <w:r>
              <w:rPr>
                <w:rFonts w:hint="eastAsia" w:ascii="宋体" w:hAnsi="宋体"/>
                <w:szCs w:val="21"/>
                <w:lang w:eastAsia="zh-CN"/>
              </w:rPr>
              <w:t>管理</w:t>
            </w:r>
            <w:r>
              <w:rPr>
                <w:rFonts w:hint="eastAsia" w:ascii="宋体" w:hAnsi="宋体"/>
                <w:szCs w:val="21"/>
              </w:rPr>
              <w:t>；</w:t>
            </w:r>
            <w:r>
              <w:rPr>
                <w:rFonts w:hint="eastAsia" w:ascii="宋体" w:hAnsi="宋体"/>
                <w:szCs w:val="21"/>
                <w:lang w:eastAsia="zh-CN"/>
              </w:rPr>
              <w:t>保洁作业管</w:t>
            </w:r>
            <w:r>
              <w:rPr>
                <w:rFonts w:hint="eastAsia" w:ascii="宋体" w:hAnsi="宋体"/>
                <w:szCs w:val="21"/>
              </w:rPr>
              <w:t>、</w:t>
            </w:r>
            <w:r>
              <w:rPr>
                <w:rFonts w:hint="eastAsia" w:ascii="宋体" w:hAnsi="宋体"/>
                <w:szCs w:val="21"/>
                <w:lang w:eastAsia="zh-CN"/>
              </w:rPr>
              <w:t>食堂管理、</w:t>
            </w:r>
            <w:r>
              <w:rPr>
                <w:rFonts w:hint="eastAsia" w:ascii="宋体" w:hAnsi="宋体"/>
                <w:szCs w:val="21"/>
              </w:rPr>
              <w:t>洗衣</w:t>
            </w:r>
            <w:r>
              <w:rPr>
                <w:rFonts w:hint="eastAsia" w:ascii="宋体" w:hAnsi="宋体"/>
                <w:szCs w:val="21"/>
                <w:lang w:eastAsia="zh-CN"/>
              </w:rPr>
              <w:t>房</w:t>
            </w:r>
            <w:r>
              <w:rPr>
                <w:rFonts w:hint="eastAsia" w:ascii="宋体" w:hAnsi="宋体"/>
                <w:szCs w:val="21"/>
              </w:rPr>
              <w:t>服务</w:t>
            </w:r>
            <w:r>
              <w:rPr>
                <w:rFonts w:hint="eastAsia" w:ascii="宋体" w:hAnsi="宋体"/>
                <w:szCs w:val="21"/>
                <w:lang w:eastAsia="zh-CN"/>
              </w:rPr>
              <w:t>管理等</w:t>
            </w:r>
            <w:r>
              <w:rPr>
                <w:rFonts w:hint="eastAsia" w:ascii="宋体" w:hAnsi="宋体"/>
                <w:szCs w:val="21"/>
              </w:rPr>
              <w:t>）的</w:t>
            </w:r>
            <w:r>
              <w:rPr>
                <w:rFonts w:hint="eastAsia" w:ascii="宋体" w:hAnsi="宋体"/>
                <w:szCs w:val="21"/>
                <w:lang w:eastAsia="zh-CN"/>
              </w:rPr>
              <w:t>提供相应管理制度。</w:t>
            </w:r>
          </w:p>
          <w:p w14:paraId="3DE3D15C">
            <w:pPr>
              <w:widowControl/>
              <w:spacing w:line="240" w:lineRule="auto"/>
              <w:textAlignment w:val="center"/>
              <w:rPr>
                <w:rFonts w:ascii="宋体" w:hAnsi="宋体"/>
                <w:szCs w:val="21"/>
              </w:rPr>
            </w:pPr>
            <w:r>
              <w:rPr>
                <w:rFonts w:hint="eastAsia" w:ascii="宋体" w:hAnsi="宋体"/>
                <w:szCs w:val="21"/>
              </w:rPr>
              <w:t>1、</w:t>
            </w:r>
            <w:r>
              <w:rPr>
                <w:rFonts w:hint="eastAsia" w:ascii="宋体" w:hAnsi="宋体"/>
                <w:szCs w:val="21"/>
                <w:lang w:eastAsia="zh-CN"/>
              </w:rPr>
              <w:t>管理制度合理执行性强</w:t>
            </w:r>
            <w:r>
              <w:rPr>
                <w:rFonts w:hint="eastAsia" w:ascii="宋体" w:hAnsi="宋体"/>
                <w:szCs w:val="21"/>
              </w:rPr>
              <w:t>，</w:t>
            </w:r>
            <w:r>
              <w:rPr>
                <w:rFonts w:hint="eastAsia" w:ascii="宋体" w:hAnsi="宋体"/>
                <w:szCs w:val="21"/>
                <w:lang w:eastAsia="zh-CN"/>
              </w:rPr>
              <w:t>制度完全满足采购人的需求的，</w:t>
            </w:r>
            <w:r>
              <w:rPr>
                <w:rFonts w:hint="eastAsia" w:ascii="宋体" w:hAnsi="宋体"/>
                <w:szCs w:val="21"/>
              </w:rPr>
              <w:t>得</w:t>
            </w:r>
            <w:r>
              <w:rPr>
                <w:rFonts w:hint="eastAsia" w:ascii="宋体" w:hAnsi="宋体"/>
                <w:szCs w:val="21"/>
                <w:lang w:val="en-US" w:eastAsia="zh-CN"/>
              </w:rPr>
              <w:t>4</w:t>
            </w:r>
            <w:r>
              <w:rPr>
                <w:rFonts w:hint="eastAsia" w:ascii="宋体" w:hAnsi="宋体"/>
                <w:szCs w:val="21"/>
              </w:rPr>
              <w:t>分；</w:t>
            </w:r>
          </w:p>
          <w:p w14:paraId="052D080D">
            <w:pPr>
              <w:widowControl/>
              <w:spacing w:line="240" w:lineRule="auto"/>
              <w:textAlignment w:val="center"/>
              <w:rPr>
                <w:rFonts w:ascii="宋体" w:hAnsi="宋体"/>
                <w:szCs w:val="21"/>
              </w:rPr>
            </w:pPr>
            <w:r>
              <w:rPr>
                <w:rFonts w:hint="eastAsia" w:ascii="宋体" w:hAnsi="宋体"/>
                <w:szCs w:val="21"/>
              </w:rPr>
              <w:t>2、</w:t>
            </w:r>
            <w:r>
              <w:rPr>
                <w:rFonts w:hint="eastAsia" w:ascii="宋体" w:hAnsi="宋体"/>
                <w:szCs w:val="21"/>
                <w:lang w:eastAsia="zh-CN"/>
              </w:rPr>
              <w:t>管理制度较为合理执行一般</w:t>
            </w:r>
            <w:r>
              <w:rPr>
                <w:rFonts w:hint="eastAsia" w:ascii="宋体" w:hAnsi="宋体"/>
                <w:szCs w:val="21"/>
              </w:rPr>
              <w:t>，</w:t>
            </w:r>
            <w:r>
              <w:rPr>
                <w:rFonts w:hint="eastAsia" w:ascii="宋体" w:hAnsi="宋体"/>
                <w:szCs w:val="21"/>
                <w:lang w:eastAsia="zh-CN"/>
              </w:rPr>
              <w:t>制度基本满足采购人的需求的，</w:t>
            </w:r>
            <w:r>
              <w:rPr>
                <w:rFonts w:hint="eastAsia" w:ascii="宋体" w:hAnsi="宋体"/>
                <w:szCs w:val="21"/>
              </w:rPr>
              <w:t>得</w:t>
            </w:r>
            <w:r>
              <w:rPr>
                <w:rFonts w:hint="eastAsia" w:ascii="宋体" w:hAnsi="宋体"/>
                <w:szCs w:val="21"/>
                <w:lang w:val="en-US" w:eastAsia="zh-CN"/>
              </w:rPr>
              <w:t>2</w:t>
            </w:r>
            <w:r>
              <w:rPr>
                <w:rFonts w:hint="eastAsia" w:ascii="宋体" w:hAnsi="宋体"/>
                <w:szCs w:val="21"/>
              </w:rPr>
              <w:t>分；</w:t>
            </w:r>
          </w:p>
          <w:p w14:paraId="06A55A10">
            <w:pPr>
              <w:widowControl/>
              <w:spacing w:line="240" w:lineRule="auto"/>
              <w:textAlignment w:val="center"/>
              <w:rPr>
                <w:rFonts w:ascii="宋体" w:hAnsi="宋体"/>
                <w:szCs w:val="21"/>
              </w:rPr>
            </w:pPr>
            <w:r>
              <w:rPr>
                <w:rFonts w:hint="eastAsia" w:ascii="宋体" w:hAnsi="宋体"/>
                <w:szCs w:val="21"/>
              </w:rPr>
              <w:t>3、</w:t>
            </w:r>
            <w:r>
              <w:rPr>
                <w:rFonts w:hint="eastAsia" w:ascii="宋体" w:hAnsi="宋体"/>
                <w:szCs w:val="21"/>
                <w:lang w:eastAsia="zh-CN"/>
              </w:rPr>
              <w:t>管理制度不合理执行性差</w:t>
            </w:r>
            <w:r>
              <w:rPr>
                <w:rFonts w:hint="eastAsia" w:ascii="宋体" w:hAnsi="宋体"/>
                <w:szCs w:val="21"/>
              </w:rPr>
              <w:t>，</w:t>
            </w:r>
            <w:r>
              <w:rPr>
                <w:rFonts w:hint="eastAsia" w:ascii="宋体" w:hAnsi="宋体"/>
                <w:szCs w:val="21"/>
                <w:lang w:eastAsia="zh-CN"/>
              </w:rPr>
              <w:t>制度不能完全满足采购人的需求的，</w:t>
            </w:r>
            <w:r>
              <w:rPr>
                <w:rFonts w:hint="eastAsia" w:ascii="宋体" w:hAnsi="宋体"/>
                <w:szCs w:val="21"/>
              </w:rPr>
              <w:t>得</w:t>
            </w:r>
            <w:r>
              <w:rPr>
                <w:rFonts w:hint="eastAsia" w:ascii="宋体" w:hAnsi="宋体"/>
                <w:szCs w:val="21"/>
                <w:lang w:val="en-US" w:eastAsia="zh-CN"/>
              </w:rPr>
              <w:t>1</w:t>
            </w:r>
            <w:r>
              <w:rPr>
                <w:rFonts w:hint="eastAsia" w:ascii="宋体" w:hAnsi="宋体"/>
                <w:szCs w:val="21"/>
              </w:rPr>
              <w:t>分；</w:t>
            </w:r>
          </w:p>
          <w:p w14:paraId="7BC22569">
            <w:pPr>
              <w:spacing w:line="240" w:lineRule="auto"/>
              <w:jc w:val="left"/>
              <w:rPr>
                <w:rFonts w:hint="eastAsia" w:ascii="宋体" w:hAnsi="宋体" w:eastAsiaTheme="minorEastAsia"/>
                <w:szCs w:val="21"/>
                <w:lang w:eastAsia="zh-CN"/>
              </w:rPr>
            </w:pPr>
            <w:r>
              <w:rPr>
                <w:rFonts w:hint="eastAsia" w:ascii="宋体" w:hAnsi="宋体"/>
                <w:szCs w:val="21"/>
              </w:rPr>
              <w:t>4、未体现上述内容的不得分。</w:t>
            </w:r>
          </w:p>
        </w:tc>
      </w:tr>
      <w:tr w14:paraId="7D9E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6487784">
            <w:pPr>
              <w:tabs>
                <w:tab w:val="left" w:pos="8610"/>
              </w:tabs>
              <w:spacing w:line="240" w:lineRule="auto"/>
              <w:ind w:firstLine="210" w:firstLineChars="10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4</w:t>
            </w:r>
          </w:p>
          <w:p w14:paraId="1CC01627">
            <w:pPr>
              <w:pStyle w:val="8"/>
              <w:spacing w:line="240" w:lineRule="auto"/>
              <w:rPr>
                <w:sz w:val="21"/>
                <w:szCs w:val="21"/>
              </w:rPr>
            </w:pPr>
          </w:p>
        </w:tc>
        <w:tc>
          <w:tcPr>
            <w:tcW w:w="1347" w:type="dxa"/>
            <w:tcBorders>
              <w:top w:val="single" w:color="auto" w:sz="4" w:space="0"/>
              <w:left w:val="single" w:color="auto" w:sz="4" w:space="0"/>
              <w:bottom w:val="single" w:color="auto" w:sz="4" w:space="0"/>
              <w:right w:val="single" w:color="auto" w:sz="4" w:space="0"/>
            </w:tcBorders>
            <w:vAlign w:val="center"/>
          </w:tcPr>
          <w:p w14:paraId="113B906A">
            <w:pPr>
              <w:spacing w:line="240" w:lineRule="auto"/>
              <w:jc w:val="center"/>
              <w:rPr>
                <w:rStyle w:val="10"/>
                <w:rFonts w:ascii="宋体" w:hAnsi="宋体" w:eastAsia="宋体" w:cs="宋体"/>
                <w:sz w:val="21"/>
                <w:szCs w:val="21"/>
                <w:u w:color="000000"/>
                <w:lang w:val="zh-TW"/>
              </w:rPr>
            </w:pPr>
            <w:r>
              <w:rPr>
                <w:rFonts w:hint="eastAsia" w:ascii="宋体" w:hAnsi="宋体" w:cs="宋体"/>
                <w:kern w:val="0"/>
              </w:rPr>
              <w:t>工作人员培训及管理</w:t>
            </w:r>
          </w:p>
        </w:tc>
        <w:tc>
          <w:tcPr>
            <w:tcW w:w="737" w:type="dxa"/>
            <w:tcBorders>
              <w:top w:val="single" w:color="auto" w:sz="4" w:space="0"/>
              <w:left w:val="single" w:color="auto" w:sz="4" w:space="0"/>
              <w:bottom w:val="single" w:color="auto" w:sz="4" w:space="0"/>
              <w:right w:val="single" w:color="auto" w:sz="4" w:space="0"/>
            </w:tcBorders>
            <w:vAlign w:val="center"/>
          </w:tcPr>
          <w:p w14:paraId="6E898EDA">
            <w:pPr>
              <w:spacing w:line="240" w:lineRule="auto"/>
              <w:jc w:val="center"/>
              <w:rPr>
                <w:rStyle w:val="10"/>
                <w:rFonts w:hint="default" w:ascii="宋体" w:hAnsi="宋体" w:eastAsia="宋体" w:cs="宋体"/>
                <w:sz w:val="21"/>
                <w:szCs w:val="21"/>
                <w:lang w:val="en-US" w:eastAsia="zh-CN"/>
              </w:rPr>
            </w:pPr>
            <w:r>
              <w:rPr>
                <w:rStyle w:val="10"/>
                <w:rFonts w:hint="eastAsia" w:ascii="宋体" w:hAnsi="宋体" w:eastAsia="宋体" w:cs="宋体"/>
                <w:sz w:val="21"/>
                <w:szCs w:val="21"/>
                <w:lang w:val="en-US" w:eastAsia="zh-CN"/>
              </w:rPr>
              <w:t>4</w:t>
            </w:r>
          </w:p>
        </w:tc>
        <w:tc>
          <w:tcPr>
            <w:tcW w:w="6962" w:type="dxa"/>
            <w:tcBorders>
              <w:top w:val="single" w:color="auto" w:sz="4" w:space="0"/>
              <w:left w:val="single" w:color="auto" w:sz="4" w:space="0"/>
              <w:bottom w:val="single" w:color="auto" w:sz="4" w:space="0"/>
              <w:right w:val="single" w:color="auto" w:sz="4" w:space="0"/>
            </w:tcBorders>
            <w:vAlign w:val="center"/>
          </w:tcPr>
          <w:p w14:paraId="3370989B">
            <w:pPr>
              <w:spacing w:line="240" w:lineRule="auto"/>
              <w:jc w:val="left"/>
              <w:rPr>
                <w:rFonts w:ascii="宋体" w:hAnsi="宋体" w:eastAsia="宋体" w:cs="宋体"/>
                <w:sz w:val="21"/>
                <w:szCs w:val="21"/>
              </w:rPr>
            </w:pPr>
            <w:r>
              <w:rPr>
                <w:rFonts w:hint="eastAsia" w:ascii="宋体" w:hAnsi="宋体" w:eastAsia="宋体" w:cs="宋体"/>
                <w:sz w:val="21"/>
                <w:szCs w:val="21"/>
              </w:rPr>
              <w:t>根据</w:t>
            </w:r>
            <w:r>
              <w:rPr>
                <w:rFonts w:hint="eastAsia" w:ascii="宋体" w:hAnsi="宋体" w:eastAsia="宋体" w:cs="宋体"/>
                <w:sz w:val="21"/>
                <w:szCs w:val="21"/>
                <w:lang w:eastAsia="zh-CN"/>
              </w:rPr>
              <w:t>采购人的需求，</w:t>
            </w:r>
            <w:r>
              <w:rPr>
                <w:rFonts w:hint="eastAsia" w:ascii="宋体" w:hAnsi="宋体" w:eastAsia="宋体" w:cs="宋体"/>
                <w:sz w:val="21"/>
                <w:szCs w:val="21"/>
              </w:rPr>
              <w:t>投标人</w:t>
            </w:r>
            <w:r>
              <w:rPr>
                <w:rFonts w:hint="eastAsia" w:ascii="宋体" w:hAnsi="宋体" w:eastAsia="宋体" w:cs="宋体"/>
                <w:sz w:val="21"/>
                <w:szCs w:val="21"/>
                <w:lang w:eastAsia="zh-CN"/>
              </w:rPr>
              <w:t>对服务</w:t>
            </w:r>
            <w:r>
              <w:rPr>
                <w:rFonts w:hint="eastAsia" w:ascii="宋体" w:hAnsi="宋体" w:eastAsia="宋体" w:cs="宋体"/>
                <w:sz w:val="21"/>
                <w:szCs w:val="21"/>
              </w:rPr>
              <w:t>人员</w:t>
            </w:r>
            <w:r>
              <w:rPr>
                <w:rFonts w:hint="eastAsia" w:ascii="宋体" w:hAnsi="宋体" w:eastAsia="宋体" w:cs="宋体"/>
                <w:sz w:val="21"/>
                <w:szCs w:val="21"/>
                <w:lang w:eastAsia="zh-CN"/>
              </w:rPr>
              <w:t>提供不定期等</w:t>
            </w:r>
            <w:r>
              <w:rPr>
                <w:rFonts w:hint="eastAsia" w:ascii="宋体" w:hAnsi="宋体" w:eastAsia="宋体" w:cs="宋体"/>
                <w:sz w:val="21"/>
                <w:szCs w:val="21"/>
              </w:rPr>
              <w:t>培训方案（包含但不限于岗前培训，岗位职责明确、服务标准明确等）</w:t>
            </w:r>
            <w:r>
              <w:rPr>
                <w:rFonts w:hint="eastAsia" w:ascii="宋体" w:hAnsi="宋体" w:eastAsia="宋体" w:cs="宋体"/>
                <w:sz w:val="21"/>
                <w:szCs w:val="21"/>
                <w:lang w:eastAsia="zh-CN"/>
              </w:rPr>
              <w:t>合理性</w:t>
            </w:r>
            <w:r>
              <w:rPr>
                <w:rFonts w:hint="eastAsia" w:ascii="宋体" w:hAnsi="宋体" w:eastAsia="宋体" w:cs="宋体"/>
                <w:sz w:val="21"/>
                <w:szCs w:val="21"/>
              </w:rPr>
              <w:t>进行评分：</w:t>
            </w:r>
          </w:p>
          <w:p w14:paraId="1471E836">
            <w:pPr>
              <w:widowControl/>
              <w:spacing w:line="240" w:lineRule="auto"/>
              <w:textAlignment w:val="center"/>
              <w:rPr>
                <w:rFonts w:ascii="宋体" w:hAnsi="宋体" w:cs="宋体"/>
                <w:spacing w:val="-1"/>
                <w:szCs w:val="21"/>
              </w:rPr>
            </w:pPr>
            <w:r>
              <w:rPr>
                <w:rFonts w:hint="eastAsia" w:ascii="宋体" w:hAnsi="宋体" w:cs="宋体"/>
                <w:spacing w:val="-1"/>
                <w:szCs w:val="21"/>
              </w:rPr>
              <w:t>1、方案合理详细，内容有针对性和可行性，满足且优于项目要求的，得</w:t>
            </w:r>
            <w:r>
              <w:rPr>
                <w:rFonts w:hint="eastAsia" w:ascii="宋体" w:hAnsi="宋体" w:cs="宋体"/>
                <w:spacing w:val="-1"/>
                <w:szCs w:val="21"/>
                <w:lang w:val="en-US" w:eastAsia="zh-CN"/>
              </w:rPr>
              <w:t>4</w:t>
            </w:r>
            <w:r>
              <w:rPr>
                <w:rFonts w:hint="eastAsia" w:ascii="宋体" w:hAnsi="宋体" w:cs="宋体"/>
                <w:spacing w:val="-1"/>
                <w:szCs w:val="21"/>
              </w:rPr>
              <w:t>分；</w:t>
            </w:r>
          </w:p>
          <w:p w14:paraId="7CA50B01">
            <w:pPr>
              <w:widowControl/>
              <w:spacing w:line="240" w:lineRule="auto"/>
              <w:textAlignment w:val="center"/>
              <w:rPr>
                <w:rFonts w:ascii="宋体" w:hAnsi="宋体" w:cs="宋体"/>
                <w:spacing w:val="-1"/>
                <w:szCs w:val="21"/>
              </w:rPr>
            </w:pPr>
            <w:r>
              <w:rPr>
                <w:rFonts w:hint="eastAsia" w:ascii="宋体" w:hAnsi="宋体" w:cs="宋体"/>
                <w:spacing w:val="-1"/>
                <w:szCs w:val="21"/>
              </w:rPr>
              <w:t>2、方案较为合理详细，内容较有针对性和可行性，完全满足项目要求的，得</w:t>
            </w:r>
            <w:r>
              <w:rPr>
                <w:rFonts w:hint="eastAsia" w:ascii="宋体" w:hAnsi="宋体" w:cs="宋体"/>
                <w:spacing w:val="-1"/>
                <w:szCs w:val="21"/>
                <w:lang w:val="en-US" w:eastAsia="zh-CN"/>
              </w:rPr>
              <w:t>2</w:t>
            </w:r>
            <w:r>
              <w:rPr>
                <w:rFonts w:hint="eastAsia" w:ascii="宋体" w:hAnsi="宋体" w:cs="宋体"/>
                <w:spacing w:val="-1"/>
                <w:szCs w:val="21"/>
              </w:rPr>
              <w:t>分；</w:t>
            </w:r>
          </w:p>
          <w:p w14:paraId="5BF4D8E6">
            <w:pPr>
              <w:widowControl/>
              <w:spacing w:line="240" w:lineRule="auto"/>
              <w:textAlignment w:val="center"/>
              <w:rPr>
                <w:rFonts w:ascii="宋体" w:hAnsi="宋体" w:cs="宋体"/>
                <w:spacing w:val="-1"/>
                <w:szCs w:val="21"/>
              </w:rPr>
            </w:pPr>
            <w:r>
              <w:rPr>
                <w:rFonts w:hint="eastAsia" w:ascii="宋体" w:hAnsi="宋体" w:cs="宋体"/>
                <w:spacing w:val="-1"/>
                <w:szCs w:val="21"/>
              </w:rPr>
              <w:t>3、方案不合理、不够详细，不能完全满足项目要求的，得1分；</w:t>
            </w:r>
          </w:p>
          <w:p w14:paraId="382B93D6">
            <w:pPr>
              <w:spacing w:line="240" w:lineRule="auto"/>
              <w:jc w:val="left"/>
              <w:rPr>
                <w:rFonts w:ascii="宋体" w:hAnsi="宋体" w:eastAsia="宋体" w:cs="宋体"/>
                <w:sz w:val="21"/>
                <w:szCs w:val="21"/>
              </w:rPr>
            </w:pPr>
            <w:r>
              <w:rPr>
                <w:rFonts w:hint="eastAsia" w:ascii="宋体" w:hAnsi="宋体" w:cs="宋体"/>
                <w:spacing w:val="-1"/>
                <w:szCs w:val="21"/>
              </w:rPr>
              <w:t>4、未体现上述内容的不得分。</w:t>
            </w:r>
          </w:p>
        </w:tc>
      </w:tr>
      <w:tr w14:paraId="6D89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70DCACF">
            <w:pPr>
              <w:tabs>
                <w:tab w:val="left" w:pos="8610"/>
              </w:tabs>
              <w:spacing w:line="240" w:lineRule="auto"/>
              <w:ind w:firstLine="210" w:firstLineChars="10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5</w:t>
            </w:r>
          </w:p>
        </w:tc>
        <w:tc>
          <w:tcPr>
            <w:tcW w:w="1347" w:type="dxa"/>
            <w:tcBorders>
              <w:top w:val="single" w:color="auto" w:sz="4" w:space="0"/>
              <w:left w:val="single" w:color="auto" w:sz="4" w:space="0"/>
              <w:bottom w:val="single" w:color="auto" w:sz="4" w:space="0"/>
              <w:right w:val="single" w:color="auto" w:sz="4" w:space="0"/>
            </w:tcBorders>
            <w:vAlign w:val="center"/>
          </w:tcPr>
          <w:p w14:paraId="149FCE58">
            <w:pPr>
              <w:spacing w:line="240" w:lineRule="auto"/>
              <w:jc w:val="center"/>
              <w:rPr>
                <w:rFonts w:ascii="宋体" w:hAnsi="宋体" w:eastAsia="宋体" w:cs="宋体"/>
                <w:sz w:val="21"/>
                <w:szCs w:val="21"/>
              </w:rPr>
            </w:pPr>
            <w:r>
              <w:rPr>
                <w:rFonts w:hint="eastAsia" w:ascii="宋体" w:hAnsi="宋体" w:cs="宋体"/>
              </w:rPr>
              <w:t>质量承诺及措施</w:t>
            </w:r>
          </w:p>
        </w:tc>
        <w:tc>
          <w:tcPr>
            <w:tcW w:w="737" w:type="dxa"/>
            <w:tcBorders>
              <w:top w:val="single" w:color="auto" w:sz="4" w:space="0"/>
              <w:left w:val="single" w:color="auto" w:sz="4" w:space="0"/>
              <w:bottom w:val="single" w:color="auto" w:sz="4" w:space="0"/>
              <w:right w:val="single" w:color="auto" w:sz="4" w:space="0"/>
            </w:tcBorders>
            <w:vAlign w:val="center"/>
          </w:tcPr>
          <w:p w14:paraId="2F1F2632">
            <w:pPr>
              <w:spacing w:line="240" w:lineRule="auto"/>
              <w:jc w:val="center"/>
              <w:rPr>
                <w:rStyle w:val="10"/>
                <w:rFonts w:hint="eastAsia" w:ascii="宋体" w:hAnsi="宋体" w:eastAsia="宋体" w:cs="宋体"/>
                <w:sz w:val="21"/>
                <w:szCs w:val="21"/>
                <w:lang w:val="en-US" w:eastAsia="zh-CN"/>
              </w:rPr>
            </w:pPr>
            <w:r>
              <w:rPr>
                <w:rStyle w:val="10"/>
                <w:rFonts w:hint="eastAsia" w:ascii="宋体" w:hAnsi="宋体" w:eastAsia="宋体" w:cs="宋体"/>
                <w:sz w:val="21"/>
                <w:szCs w:val="21"/>
                <w:lang w:val="en-US" w:eastAsia="zh-CN"/>
              </w:rPr>
              <w:t>4</w:t>
            </w:r>
          </w:p>
        </w:tc>
        <w:tc>
          <w:tcPr>
            <w:tcW w:w="6962" w:type="dxa"/>
            <w:tcBorders>
              <w:top w:val="single" w:color="auto" w:sz="4" w:space="0"/>
              <w:left w:val="single" w:color="auto" w:sz="4" w:space="0"/>
              <w:bottom w:val="single" w:color="auto" w:sz="4" w:space="0"/>
              <w:right w:val="single" w:color="auto" w:sz="4" w:space="0"/>
            </w:tcBorders>
            <w:vAlign w:val="center"/>
          </w:tcPr>
          <w:p w14:paraId="7E93A4C1">
            <w:pPr>
              <w:widowControl/>
              <w:spacing w:line="240" w:lineRule="auto"/>
              <w:textAlignment w:val="center"/>
              <w:rPr>
                <w:rFonts w:ascii="宋体" w:hAnsi="宋体" w:cs="宋体"/>
                <w:szCs w:val="21"/>
              </w:rPr>
            </w:pPr>
            <w:r>
              <w:rPr>
                <w:rFonts w:hint="eastAsia" w:ascii="宋体" w:hAnsi="宋体" w:cs="宋体"/>
                <w:szCs w:val="21"/>
              </w:rPr>
              <w:t>1、各项服务质量承诺及措施</w:t>
            </w:r>
            <w:r>
              <w:rPr>
                <w:rFonts w:hint="eastAsia" w:ascii="宋体" w:hAnsi="宋体"/>
                <w:szCs w:val="21"/>
              </w:rPr>
              <w:t>满足</w:t>
            </w:r>
            <w:r>
              <w:rPr>
                <w:rFonts w:hint="eastAsia"/>
                <w:szCs w:val="21"/>
              </w:rPr>
              <w:t>且优于</w:t>
            </w:r>
            <w:r>
              <w:rPr>
                <w:rFonts w:hint="eastAsia" w:ascii="宋体" w:hAnsi="宋体"/>
                <w:szCs w:val="21"/>
              </w:rPr>
              <w:t>项目要求的，</w:t>
            </w:r>
            <w:r>
              <w:rPr>
                <w:rFonts w:hint="eastAsia" w:ascii="宋体" w:hAnsi="宋体" w:cs="宋体"/>
                <w:szCs w:val="21"/>
              </w:rPr>
              <w:t>得</w:t>
            </w:r>
            <w:r>
              <w:rPr>
                <w:rFonts w:hint="eastAsia" w:ascii="宋体" w:hAnsi="宋体" w:cs="宋体"/>
                <w:szCs w:val="21"/>
                <w:lang w:val="en-US" w:eastAsia="zh-CN"/>
              </w:rPr>
              <w:t>4</w:t>
            </w:r>
            <w:r>
              <w:rPr>
                <w:rFonts w:hint="eastAsia" w:ascii="宋体" w:hAnsi="宋体" w:cs="宋体"/>
                <w:szCs w:val="21"/>
              </w:rPr>
              <w:t>分；</w:t>
            </w:r>
          </w:p>
          <w:p w14:paraId="1CB827FE">
            <w:pPr>
              <w:widowControl/>
              <w:spacing w:line="240" w:lineRule="auto"/>
              <w:textAlignment w:val="center"/>
              <w:rPr>
                <w:rFonts w:ascii="宋体" w:hAnsi="宋体" w:cs="宋体"/>
                <w:szCs w:val="21"/>
              </w:rPr>
            </w:pPr>
            <w:r>
              <w:rPr>
                <w:rFonts w:hint="eastAsia" w:ascii="宋体" w:hAnsi="宋体" w:cs="宋体"/>
                <w:szCs w:val="21"/>
              </w:rPr>
              <w:t>2、各项服务质量承诺及措施</w:t>
            </w:r>
            <w:r>
              <w:rPr>
                <w:rFonts w:hint="eastAsia"/>
                <w:szCs w:val="21"/>
              </w:rPr>
              <w:t>完全</w:t>
            </w:r>
            <w:r>
              <w:rPr>
                <w:rFonts w:hint="eastAsia" w:ascii="宋体" w:hAnsi="宋体"/>
                <w:szCs w:val="21"/>
              </w:rPr>
              <w:t>满足项目要求的，</w:t>
            </w:r>
            <w:r>
              <w:rPr>
                <w:rFonts w:hint="eastAsia" w:ascii="宋体" w:hAnsi="宋体" w:cs="宋体"/>
                <w:szCs w:val="21"/>
              </w:rPr>
              <w:t>得</w:t>
            </w:r>
            <w:r>
              <w:rPr>
                <w:rFonts w:hint="eastAsia" w:ascii="宋体" w:hAnsi="宋体" w:cs="宋体"/>
                <w:szCs w:val="21"/>
                <w:lang w:val="en-US" w:eastAsia="zh-CN"/>
              </w:rPr>
              <w:t>2</w:t>
            </w:r>
            <w:r>
              <w:rPr>
                <w:rFonts w:hint="eastAsia" w:ascii="宋体" w:hAnsi="宋体" w:cs="宋体"/>
                <w:szCs w:val="21"/>
              </w:rPr>
              <w:t>分；</w:t>
            </w:r>
          </w:p>
          <w:p w14:paraId="0EEF6E73">
            <w:pPr>
              <w:widowControl/>
              <w:spacing w:line="240" w:lineRule="auto"/>
              <w:textAlignment w:val="center"/>
              <w:rPr>
                <w:rFonts w:ascii="宋体" w:hAnsi="宋体" w:cs="宋体"/>
                <w:szCs w:val="21"/>
              </w:rPr>
            </w:pPr>
            <w:r>
              <w:rPr>
                <w:rFonts w:hint="eastAsia" w:ascii="宋体" w:hAnsi="宋体" w:cs="宋体"/>
                <w:szCs w:val="21"/>
              </w:rPr>
              <w:t>3、各项服务质量承诺及措施</w:t>
            </w:r>
            <w:r>
              <w:rPr>
                <w:rFonts w:hint="eastAsia"/>
                <w:szCs w:val="21"/>
              </w:rPr>
              <w:t>不能完全满足</w:t>
            </w:r>
            <w:r>
              <w:t>项目要求的</w:t>
            </w:r>
            <w:r>
              <w:rPr>
                <w:rFonts w:hint="eastAsia"/>
                <w:szCs w:val="21"/>
              </w:rPr>
              <w:t>，</w:t>
            </w:r>
            <w:r>
              <w:rPr>
                <w:rFonts w:hint="eastAsia" w:ascii="宋体" w:hAnsi="宋体" w:cs="宋体"/>
                <w:szCs w:val="21"/>
              </w:rPr>
              <w:t>得1分；</w:t>
            </w:r>
          </w:p>
          <w:p w14:paraId="1E8C54E3">
            <w:pPr>
              <w:spacing w:line="240" w:lineRule="auto"/>
              <w:jc w:val="left"/>
              <w:rPr>
                <w:rFonts w:ascii="宋体" w:hAnsi="宋体" w:eastAsia="宋体" w:cs="宋体"/>
                <w:sz w:val="21"/>
                <w:szCs w:val="21"/>
              </w:rPr>
            </w:pPr>
            <w:r>
              <w:rPr>
                <w:rFonts w:hint="eastAsia" w:ascii="宋体" w:hAnsi="宋体" w:cs="宋体"/>
                <w:szCs w:val="21"/>
              </w:rPr>
              <w:t>4、未体现上述内容的不得分。</w:t>
            </w:r>
          </w:p>
        </w:tc>
      </w:tr>
      <w:tr w14:paraId="2C8F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736" w:type="dxa"/>
            <w:gridSpan w:val="4"/>
            <w:tcBorders>
              <w:top w:val="single" w:color="auto" w:sz="4" w:space="0"/>
              <w:left w:val="single" w:color="auto" w:sz="4" w:space="0"/>
              <w:bottom w:val="single" w:color="auto" w:sz="4" w:space="0"/>
              <w:right w:val="single" w:color="auto" w:sz="4" w:space="0"/>
            </w:tcBorders>
            <w:vAlign w:val="center"/>
          </w:tcPr>
          <w:p w14:paraId="35A7BAD1">
            <w:pPr>
              <w:pStyle w:val="9"/>
              <w:spacing w:line="240" w:lineRule="auto"/>
              <w:ind w:firstLine="0" w:firstLineChars="0"/>
              <w:jc w:val="center"/>
              <w:rPr>
                <w:rFonts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rPr>
              <w:t>价格评分（</w:t>
            </w:r>
            <w:r>
              <w:rPr>
                <w:rFonts w:hint="eastAsia" w:asciiTheme="minorEastAsia" w:hAnsiTheme="minorEastAsia" w:eastAsiaTheme="minorEastAsia" w:cstheme="minorEastAsia"/>
                <w:b/>
                <w:sz w:val="21"/>
                <w:szCs w:val="21"/>
                <w:lang w:val="en-US" w:eastAsia="zh-CN"/>
              </w:rPr>
              <w:t>60</w:t>
            </w:r>
            <w:r>
              <w:rPr>
                <w:rFonts w:hint="eastAsia" w:asciiTheme="minorEastAsia" w:hAnsiTheme="minorEastAsia" w:eastAsiaTheme="minorEastAsia" w:cstheme="minorEastAsia"/>
                <w:b/>
                <w:sz w:val="21"/>
                <w:szCs w:val="21"/>
              </w:rPr>
              <w:t>分）</w:t>
            </w:r>
          </w:p>
        </w:tc>
      </w:tr>
      <w:tr w14:paraId="1BFA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36" w:type="dxa"/>
            <w:gridSpan w:val="4"/>
            <w:tcBorders>
              <w:top w:val="single" w:color="auto" w:sz="4" w:space="0"/>
              <w:left w:val="single" w:color="auto" w:sz="4" w:space="0"/>
              <w:bottom w:val="single" w:color="auto" w:sz="4" w:space="0"/>
              <w:right w:val="single" w:color="auto" w:sz="4" w:space="0"/>
            </w:tcBorders>
            <w:vAlign w:val="center"/>
          </w:tcPr>
          <w:p w14:paraId="4715A323">
            <w:pPr>
              <w:adjustRightInd w:val="0"/>
              <w:snapToGrid w:val="0"/>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价格分计算方法：满足招标文件要求且投标价格最低的投标报价为评标基准价，其价格分为满分。其他投标人的价格分统一按照下列公式计算：</w:t>
            </w:r>
          </w:p>
          <w:p w14:paraId="13776C77">
            <w:pPr>
              <w:adjustRightInd w:val="0"/>
              <w:snapToGrid w:val="0"/>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投标报价得分=(评标基准价／投标报价)×价格权值×100</w:t>
            </w:r>
          </w:p>
        </w:tc>
      </w:tr>
      <w:tr w14:paraId="6B2C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36" w:type="dxa"/>
            <w:gridSpan w:val="4"/>
            <w:tcBorders>
              <w:top w:val="single" w:color="auto" w:sz="4" w:space="0"/>
              <w:left w:val="single" w:color="auto" w:sz="4" w:space="0"/>
              <w:bottom w:val="single" w:color="auto" w:sz="4" w:space="0"/>
              <w:right w:val="single" w:color="auto" w:sz="4" w:space="0"/>
            </w:tcBorders>
            <w:vAlign w:val="center"/>
          </w:tcPr>
          <w:p w14:paraId="5FEBA0AF">
            <w:pPr>
              <w:adjustRightInd w:val="0"/>
              <w:snapToGrid w:val="0"/>
              <w:spacing w:line="360" w:lineRule="auto"/>
              <w:ind w:left="630" w:hanging="630" w:hangingChars="300"/>
              <w:jc w:val="left"/>
              <w:rPr>
                <w:rFonts w:asciiTheme="minorEastAsia" w:hAnsiTheme="minorEastAsia" w:cstheme="minorEastAsia"/>
                <w:sz w:val="21"/>
                <w:szCs w:val="21"/>
              </w:rPr>
            </w:pPr>
            <w:r>
              <w:rPr>
                <w:rFonts w:hint="eastAsia" w:asciiTheme="minorEastAsia" w:hAnsiTheme="minorEastAsia" w:cstheme="minorEastAsia"/>
                <w:sz w:val="21"/>
                <w:szCs w:val="21"/>
              </w:rPr>
              <w:t>备注：</w:t>
            </w:r>
          </w:p>
          <w:p w14:paraId="41A19DD1">
            <w:pPr>
              <w:adjustRightInd w:val="0"/>
              <w:snapToGrid w:val="0"/>
              <w:spacing w:line="360" w:lineRule="auto"/>
              <w:ind w:left="630" w:hanging="630" w:hangingChars="300"/>
              <w:jc w:val="left"/>
              <w:rPr>
                <w:rFonts w:asciiTheme="minorEastAsia" w:hAnsiTheme="minorEastAsia" w:cstheme="minorEastAsia"/>
                <w:sz w:val="21"/>
                <w:szCs w:val="21"/>
              </w:rPr>
            </w:pPr>
            <w:r>
              <w:rPr>
                <w:rFonts w:hint="eastAsia" w:asciiTheme="minorEastAsia" w:hAnsiTheme="minorEastAsia" w:cstheme="minorEastAsia"/>
                <w:sz w:val="21"/>
                <w:szCs w:val="21"/>
              </w:rPr>
              <w:t>1.凡涉及以上评分细则中相关证明材料，均要求按照评分细则要求提供，未按要求提供的相关评分不分。</w:t>
            </w:r>
          </w:p>
          <w:p w14:paraId="729145B9">
            <w:pPr>
              <w:adjustRightInd w:val="0"/>
              <w:snapToGrid w:val="0"/>
              <w:spacing w:line="360" w:lineRule="auto"/>
              <w:ind w:left="420" w:hanging="420" w:hangingChars="200"/>
              <w:jc w:val="left"/>
              <w:rPr>
                <w:rFonts w:asciiTheme="minorEastAsia" w:hAnsiTheme="minorEastAsia" w:cstheme="minorEastAsia"/>
                <w:sz w:val="21"/>
                <w:szCs w:val="21"/>
              </w:rPr>
            </w:pPr>
            <w:r>
              <w:rPr>
                <w:rFonts w:hint="eastAsia" w:asciiTheme="minorEastAsia" w:hAnsiTheme="minorEastAsia" w:cstheme="minorEastAsia"/>
                <w:sz w:val="21"/>
                <w:szCs w:val="21"/>
              </w:rPr>
              <w:t>2.投标人必须对所提供的证明材料负责，若发现中标人提供虚假证明材料，采购人将取消其中标资格，将情况上报财政监管部门，并依照相关法律法规对其进行处罚。</w:t>
            </w:r>
          </w:p>
        </w:tc>
      </w:tr>
    </w:tbl>
    <w:p w14:paraId="031251E6"/>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DCA3A">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EC09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9EC09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6CBC5DEA"/>
    <w:rsid w:val="003C2267"/>
    <w:rsid w:val="005236F2"/>
    <w:rsid w:val="00666D16"/>
    <w:rsid w:val="006E72DD"/>
    <w:rsid w:val="007B2FCA"/>
    <w:rsid w:val="00AB2FA9"/>
    <w:rsid w:val="00AF1D84"/>
    <w:rsid w:val="00C201EE"/>
    <w:rsid w:val="00DC1577"/>
    <w:rsid w:val="00FA23F4"/>
    <w:rsid w:val="06D308B1"/>
    <w:rsid w:val="08930746"/>
    <w:rsid w:val="0EBA2367"/>
    <w:rsid w:val="10DF6F69"/>
    <w:rsid w:val="1B0C74EB"/>
    <w:rsid w:val="21CD63E9"/>
    <w:rsid w:val="23D256E6"/>
    <w:rsid w:val="26E26549"/>
    <w:rsid w:val="31AA5712"/>
    <w:rsid w:val="353F04FD"/>
    <w:rsid w:val="384306D3"/>
    <w:rsid w:val="4B9E4758"/>
    <w:rsid w:val="4BA9548A"/>
    <w:rsid w:val="4D8210EA"/>
    <w:rsid w:val="4EB547BA"/>
    <w:rsid w:val="4F407AEA"/>
    <w:rsid w:val="50BF22C6"/>
    <w:rsid w:val="51655195"/>
    <w:rsid w:val="51E746F1"/>
    <w:rsid w:val="52406A16"/>
    <w:rsid w:val="56D24F21"/>
    <w:rsid w:val="570931F7"/>
    <w:rsid w:val="57BD5228"/>
    <w:rsid w:val="66EA3ADE"/>
    <w:rsid w:val="6BF11FFD"/>
    <w:rsid w:val="6CBC5DEA"/>
    <w:rsid w:val="6CEC15E8"/>
    <w:rsid w:val="6E8A3157"/>
    <w:rsid w:val="6FDD6949"/>
    <w:rsid w:val="74936024"/>
    <w:rsid w:val="7EDA6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1400" w:lineRule="exact"/>
      <w:jc w:val="center"/>
      <w:outlineLvl w:val="0"/>
    </w:pPr>
    <w:rPr>
      <w:rFonts w:ascii="宋体" w:hAnsi="宋体"/>
      <w:b/>
      <w:kern w:val="44"/>
      <w:sz w:val="2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1"/>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表格文字"/>
    <w:basedOn w:val="1"/>
    <w:next w:val="3"/>
    <w:qFormat/>
    <w:uiPriority w:val="0"/>
    <w:pPr>
      <w:spacing w:before="25" w:after="25"/>
    </w:pPr>
    <w:rPr>
      <w:bCs/>
      <w:spacing w:val="10"/>
      <w:szCs w:val="20"/>
    </w:rPr>
  </w:style>
  <w:style w:type="paragraph" w:customStyle="1" w:styleId="9">
    <w:name w:val="正文缩进2格"/>
    <w:basedOn w:val="1"/>
    <w:qFormat/>
    <w:uiPriority w:val="0"/>
    <w:pPr>
      <w:spacing w:line="600" w:lineRule="exact"/>
      <w:ind w:firstLine="639" w:firstLineChars="206"/>
    </w:pPr>
    <w:rPr>
      <w:rFonts w:ascii="仿宋_GB2312" w:hAnsi="宋体" w:eastAsia="仿宋_GB2312" w:cs="Times New Roman"/>
      <w:kern w:val="0"/>
      <w:sz w:val="31"/>
      <w:szCs w:val="20"/>
    </w:rPr>
  </w:style>
  <w:style w:type="character" w:customStyle="1" w:styleId="10">
    <w:name w:val="无"/>
    <w:qFormat/>
    <w:uiPriority w:val="0"/>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1597</Words>
  <Characters>1629</Characters>
  <Lines>11</Lines>
  <Paragraphs>3</Paragraphs>
  <TotalTime>0</TotalTime>
  <ScaleCrop>false</ScaleCrop>
  <LinksUpToDate>false</LinksUpToDate>
  <CharactersWithSpaces>1632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2022-05-23T12:49:00Z</dcterms:created>
  <dc:creator>杞 zZ！</dc:creator>
  <cp:lastModifiedBy>赖达权</cp:lastModifiedBy>
  <cp:lastPrinted>2024-11-15T00:56:00Z</cp:lastPrinted>
  <dcterms:modified xsi:type="dcterms:W3CDTF">2026-01-09T09:03:30Z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1BDA564F6F3C4D3D8E79B044F7203C9D_13</vt:lpwstr>
  </property>
  <property fmtid="{D5CDD505-2E9C-101B-9397-08002B2CF9AE}" pid="4" name="KSOTemplateDocerSaveRecord">
    <vt:lpwstr>eyJoZGlkIjoiYWRiNjlkY2ExYjc0Y2QzMGFkMDliMjFkNmY5MDQ2NTAiLCJ1c2VySWQiOiI3MzI1Mzk2MzEifQ==</vt:lpwstr>
  </property>
</Properties>
</file>